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65BB" w14:textId="370D6D2C" w:rsidR="00FF6BD2" w:rsidRDefault="008B076C" w:rsidP="00ED4903">
      <w:pPr>
        <w:suppressLineNumbers/>
        <w:jc w:val="center"/>
        <w:rPr>
          <w:rFonts w:ascii="Book Antiqua" w:hAnsi="Book Antiqua"/>
          <w:sz w:val="28"/>
          <w:lang w:val="es-ES_tradnl"/>
        </w:rPr>
      </w:pPr>
      <w:r>
        <w:rPr>
          <w:rFonts w:ascii="Book Antiqua" w:hAnsi="Book Antiqua"/>
          <w:sz w:val="28"/>
          <w:lang w:val="es-ES_tradnl"/>
        </w:rPr>
        <w:t>GOBIERNO DE PUERTO RICO</w:t>
      </w:r>
    </w:p>
    <w:p w14:paraId="49A18DDA" w14:textId="77777777" w:rsidR="008B076C" w:rsidRPr="00845583" w:rsidRDefault="008B076C" w:rsidP="00ED4903">
      <w:pPr>
        <w:suppressLineNumbers/>
        <w:jc w:val="center"/>
        <w:rPr>
          <w:rFonts w:ascii="Book Antiqua" w:hAnsi="Book Antiqua"/>
          <w:szCs w:val="24"/>
          <w:lang w:val="es-ES_tradnl"/>
        </w:rPr>
      </w:pPr>
    </w:p>
    <w:p w14:paraId="07374F10" w14:textId="64EDA5FB" w:rsidR="008B076C" w:rsidRDefault="00C176C5" w:rsidP="00ED4903">
      <w:pPr>
        <w:pStyle w:val="Title2"/>
        <w:suppressLineNumbers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20ma. </w:t>
      </w:r>
      <w:r w:rsidR="008B076C">
        <w:rPr>
          <w:rFonts w:ascii="Book Antiqua" w:hAnsi="Book Antiqua"/>
          <w:lang w:val="es-ES_tradnl"/>
        </w:rPr>
        <w:t>Asamblea</w:t>
      </w:r>
      <w:r>
        <w:rPr>
          <w:rFonts w:ascii="Book Antiqua" w:hAnsi="Book Antiqua"/>
          <w:lang w:val="es-ES_tradnl"/>
        </w:rPr>
        <w:t xml:space="preserve">                                                                                            </w:t>
      </w:r>
      <w:r w:rsidR="008B076C">
        <w:rPr>
          <w:rFonts w:ascii="Book Antiqua" w:hAnsi="Book Antiqua"/>
          <w:lang w:val="es-ES_tradnl"/>
        </w:rPr>
        <w:t xml:space="preserve"> </w:t>
      </w:r>
      <w:r w:rsidR="000814E5">
        <w:rPr>
          <w:rFonts w:ascii="Book Antiqua" w:hAnsi="Book Antiqua"/>
          <w:lang w:val="es-ES_tradnl"/>
        </w:rPr>
        <w:t xml:space="preserve">        </w:t>
      </w:r>
      <w:r>
        <w:rPr>
          <w:rFonts w:ascii="Book Antiqua" w:hAnsi="Book Antiqua"/>
          <w:lang w:val="es-ES_tradnl"/>
        </w:rPr>
        <w:t xml:space="preserve">2da. </w:t>
      </w:r>
      <w:r w:rsidR="008B076C">
        <w:rPr>
          <w:rFonts w:ascii="Book Antiqua" w:hAnsi="Book Antiqua"/>
          <w:lang w:val="es-ES_tradnl"/>
        </w:rPr>
        <w:t>Sesión</w:t>
      </w:r>
    </w:p>
    <w:p w14:paraId="116F257B" w14:textId="6DFD557C" w:rsidR="008B076C" w:rsidRDefault="008B076C" w:rsidP="00ED4903">
      <w:pPr>
        <w:pStyle w:val="Title2"/>
        <w:suppressLineNumbers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ab/>
        <w:t>Legislativa</w:t>
      </w:r>
      <w:r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ab/>
      </w:r>
      <w:r w:rsidR="000814E5">
        <w:rPr>
          <w:rFonts w:ascii="Book Antiqua" w:hAnsi="Book Antiqua"/>
          <w:lang w:val="es-ES_tradnl"/>
        </w:rPr>
        <w:t xml:space="preserve">       </w:t>
      </w:r>
      <w:r>
        <w:rPr>
          <w:rFonts w:ascii="Book Antiqua" w:hAnsi="Book Antiqua"/>
          <w:lang w:val="es-ES_tradnl"/>
        </w:rPr>
        <w:t>Ordinaria</w:t>
      </w:r>
    </w:p>
    <w:p w14:paraId="4EF1AFB9" w14:textId="77777777" w:rsidR="008B076C" w:rsidRDefault="008B076C" w:rsidP="00ED4903">
      <w:pPr>
        <w:suppressLineNumbers/>
        <w:rPr>
          <w:lang w:val="es-ES_tradnl"/>
        </w:rPr>
      </w:pPr>
    </w:p>
    <w:p w14:paraId="7B0EDAF5" w14:textId="03F2E1DE" w:rsidR="008B076C" w:rsidRDefault="008B076C" w:rsidP="00ED4903">
      <w:pPr>
        <w:suppressLineNumbers/>
        <w:jc w:val="center"/>
        <w:rPr>
          <w:rFonts w:ascii="Book Antiqua" w:hAnsi="Book Antiqua"/>
          <w:b/>
          <w:sz w:val="36"/>
          <w:lang w:val="es-ES_tradnl"/>
        </w:rPr>
      </w:pPr>
      <w:r>
        <w:rPr>
          <w:rFonts w:ascii="Book Antiqua" w:hAnsi="Book Antiqua"/>
          <w:b/>
          <w:sz w:val="36"/>
          <w:lang w:val="es-ES_tradnl"/>
        </w:rPr>
        <w:t>CÁMARA DE REPRESENTANTES</w:t>
      </w:r>
    </w:p>
    <w:p w14:paraId="16531F13" w14:textId="77777777" w:rsidR="008B076C" w:rsidRPr="00845583" w:rsidRDefault="008B076C" w:rsidP="00ED4903">
      <w:pPr>
        <w:suppressLineNumbers/>
        <w:jc w:val="center"/>
        <w:rPr>
          <w:rFonts w:ascii="Book Antiqua" w:hAnsi="Book Antiqua"/>
          <w:b/>
          <w:szCs w:val="24"/>
          <w:lang w:val="es-ES_tradnl"/>
        </w:rPr>
      </w:pPr>
    </w:p>
    <w:p w14:paraId="4852E402" w14:textId="4D89CF6E" w:rsidR="008B076C" w:rsidRDefault="008B076C" w:rsidP="00ED4903">
      <w:pPr>
        <w:suppressLineNumbers/>
        <w:jc w:val="center"/>
        <w:rPr>
          <w:rFonts w:ascii="Book Antiqua" w:hAnsi="Book Antiqua"/>
          <w:b/>
          <w:sz w:val="52"/>
          <w:lang w:val="es-ES_tradnl"/>
        </w:rPr>
      </w:pPr>
      <w:r>
        <w:rPr>
          <w:rFonts w:ascii="Book Antiqua" w:hAnsi="Book Antiqua"/>
          <w:b/>
          <w:sz w:val="52"/>
          <w:lang w:val="es-ES_tradnl"/>
        </w:rPr>
        <w:t>P. de la C.</w:t>
      </w:r>
      <w:r w:rsidR="0062632F">
        <w:rPr>
          <w:rFonts w:ascii="Book Antiqua" w:hAnsi="Book Antiqua"/>
          <w:b/>
          <w:sz w:val="52"/>
          <w:lang w:val="es-ES_tradnl"/>
        </w:rPr>
        <w:t xml:space="preserve"> </w:t>
      </w:r>
      <w:r w:rsidR="001A4BAB">
        <w:rPr>
          <w:rFonts w:ascii="Book Antiqua" w:hAnsi="Book Antiqua"/>
          <w:b/>
          <w:sz w:val="52"/>
          <w:lang w:val="es-ES_tradnl"/>
        </w:rPr>
        <w:t>768</w:t>
      </w:r>
    </w:p>
    <w:p w14:paraId="2C27E8A7" w14:textId="77777777" w:rsidR="00845583" w:rsidRDefault="00845583" w:rsidP="00ED4903">
      <w:pPr>
        <w:suppressLineNumbers/>
        <w:jc w:val="center"/>
        <w:rPr>
          <w:rFonts w:ascii="Book Antiqua" w:hAnsi="Book Antiqua"/>
          <w:lang w:val="es-ES_tradnl"/>
        </w:rPr>
      </w:pPr>
    </w:p>
    <w:p w14:paraId="79693771" w14:textId="28A063F8" w:rsidR="008B076C" w:rsidRDefault="001A4BAB" w:rsidP="00ED4903">
      <w:pPr>
        <w:suppressLineNumbers/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13</w:t>
      </w:r>
      <w:r w:rsidR="008B076C">
        <w:rPr>
          <w:rFonts w:ascii="Book Antiqua" w:hAnsi="Book Antiqua"/>
          <w:lang w:val="es-ES_tradnl"/>
        </w:rPr>
        <w:t xml:space="preserve"> DE </w:t>
      </w:r>
      <w:r w:rsidR="0062632F">
        <w:rPr>
          <w:rFonts w:ascii="Book Antiqua" w:hAnsi="Book Antiqua"/>
          <w:lang w:val="es-ES_tradnl"/>
        </w:rPr>
        <w:t>AGOSTO</w:t>
      </w:r>
      <w:r w:rsidR="008B076C">
        <w:rPr>
          <w:rFonts w:ascii="Book Antiqua" w:hAnsi="Book Antiqua"/>
          <w:lang w:val="es-ES_tradnl"/>
        </w:rPr>
        <w:t xml:space="preserve"> DE 2025</w:t>
      </w:r>
    </w:p>
    <w:p w14:paraId="4DAF1834" w14:textId="77777777" w:rsidR="00845583" w:rsidRDefault="00845583" w:rsidP="00ED4903">
      <w:pPr>
        <w:suppressLineNumbers/>
        <w:jc w:val="center"/>
        <w:rPr>
          <w:rFonts w:ascii="Book Antiqua" w:hAnsi="Book Antiqua"/>
          <w:lang w:val="es-ES_tradnl"/>
        </w:rPr>
      </w:pPr>
    </w:p>
    <w:p w14:paraId="79974435" w14:textId="1215140E" w:rsidR="008B076C" w:rsidRDefault="008B076C" w:rsidP="00ED4903">
      <w:pPr>
        <w:suppressLineNumbers/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Presentado por el representante</w:t>
      </w:r>
      <w:r w:rsidR="003267C5">
        <w:rPr>
          <w:rFonts w:ascii="Book Antiqua" w:hAnsi="Book Antiqua"/>
          <w:lang w:val="es-ES_tradnl"/>
        </w:rPr>
        <w:t xml:space="preserve"> </w:t>
      </w:r>
      <w:r w:rsidR="003267C5">
        <w:rPr>
          <w:rFonts w:ascii="Book Antiqua" w:hAnsi="Book Antiqua"/>
          <w:i/>
          <w:iCs/>
          <w:lang w:val="es-ES_tradnl"/>
        </w:rPr>
        <w:t>Rivera Ruiz De Porras</w:t>
      </w:r>
      <w:r>
        <w:rPr>
          <w:rFonts w:ascii="Book Antiqua" w:hAnsi="Book Antiqua"/>
          <w:lang w:val="es-ES_tradnl"/>
        </w:rPr>
        <w:t xml:space="preserve"> </w:t>
      </w:r>
    </w:p>
    <w:p w14:paraId="2F010EC9" w14:textId="77777777" w:rsidR="00845583" w:rsidRDefault="00845583" w:rsidP="00ED4903">
      <w:pPr>
        <w:suppressLineNumbers/>
        <w:jc w:val="center"/>
        <w:rPr>
          <w:rFonts w:ascii="Book Antiqua" w:hAnsi="Book Antiqua"/>
          <w:lang w:val="es-ES_tradnl"/>
        </w:rPr>
      </w:pPr>
    </w:p>
    <w:p w14:paraId="72CFE089" w14:textId="257C1F9F" w:rsidR="008B076C" w:rsidRDefault="008B076C" w:rsidP="00ED4903">
      <w:pPr>
        <w:suppressLineNumbers/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Referido a </w:t>
      </w:r>
      <w:r w:rsidR="000814E5">
        <w:rPr>
          <w:rFonts w:ascii="Book Antiqua" w:hAnsi="Book Antiqua"/>
          <w:lang w:val="es-ES_tradnl"/>
        </w:rPr>
        <w:t>la Comisión de Gobierno</w:t>
      </w:r>
    </w:p>
    <w:p w14:paraId="404ABCB0" w14:textId="77777777" w:rsidR="008B076C" w:rsidRDefault="008B076C" w:rsidP="00ED4903">
      <w:pPr>
        <w:suppressLineNumbers/>
        <w:jc w:val="both"/>
        <w:rPr>
          <w:rFonts w:ascii="Book Antiqua" w:hAnsi="Book Antiqua"/>
          <w:lang w:val="es-ES_tradnl"/>
        </w:rPr>
      </w:pPr>
    </w:p>
    <w:p w14:paraId="33C4D2B6" w14:textId="20D45E45" w:rsidR="008B076C" w:rsidRDefault="008B076C" w:rsidP="00ED4903">
      <w:pPr>
        <w:suppressLineNumbers/>
        <w:jc w:val="center"/>
        <w:rPr>
          <w:rFonts w:ascii="Book Antiqua" w:hAnsi="Book Antiqua"/>
          <w:b/>
          <w:sz w:val="28"/>
          <w:lang w:val="es-ES_tradnl"/>
        </w:rPr>
      </w:pPr>
      <w:r>
        <w:rPr>
          <w:rFonts w:ascii="Book Antiqua" w:hAnsi="Book Antiqua"/>
          <w:b/>
          <w:sz w:val="28"/>
          <w:lang w:val="es-ES_tradnl"/>
        </w:rPr>
        <w:t>LEY</w:t>
      </w:r>
    </w:p>
    <w:p w14:paraId="12B8184C" w14:textId="77777777" w:rsidR="008B076C" w:rsidRDefault="008B076C" w:rsidP="00ED4903">
      <w:pPr>
        <w:suppressLineNumbers/>
        <w:jc w:val="both"/>
        <w:rPr>
          <w:rFonts w:ascii="Book Antiqua" w:hAnsi="Book Antiqua"/>
          <w:lang w:val="es-ES_tradnl"/>
        </w:rPr>
      </w:pPr>
    </w:p>
    <w:p w14:paraId="0B7D2528" w14:textId="402AC631" w:rsidR="008B076C" w:rsidRDefault="008B076C" w:rsidP="00ED4903">
      <w:pPr>
        <w:suppressLineNumbers/>
        <w:ind w:left="720" w:hanging="720"/>
        <w:jc w:val="both"/>
        <w:rPr>
          <w:rFonts w:ascii="Book Antiqua" w:hAnsi="Book Antiqua"/>
          <w:lang w:val="es-ES_tradnl"/>
        </w:rPr>
      </w:pPr>
      <w:r w:rsidRPr="008D1B06">
        <w:rPr>
          <w:rFonts w:ascii="Book Antiqua" w:hAnsi="Book Antiqua"/>
          <w:lang w:val="es-ES_tradnl"/>
        </w:rPr>
        <w:t xml:space="preserve">Para </w:t>
      </w:r>
      <w:r w:rsidR="00151285" w:rsidRPr="008D1B06">
        <w:rPr>
          <w:rFonts w:ascii="Book Antiqua" w:hAnsi="Book Antiqua"/>
          <w:lang w:val="es-ES_tradnl"/>
        </w:rPr>
        <w:t>enmendar</w:t>
      </w:r>
      <w:r w:rsidR="00401FF6" w:rsidRPr="008D1B06">
        <w:rPr>
          <w:rFonts w:ascii="Book Antiqua" w:hAnsi="Book Antiqua"/>
          <w:lang w:val="es-ES_tradnl"/>
        </w:rPr>
        <w:t xml:space="preserve"> el Artículo 8 de</w:t>
      </w:r>
      <w:r w:rsidRPr="008D1B06">
        <w:rPr>
          <w:rFonts w:ascii="Book Antiqua" w:hAnsi="Book Antiqua"/>
          <w:lang w:val="es-ES_tradnl"/>
        </w:rPr>
        <w:t xml:space="preserve"> la</w:t>
      </w:r>
      <w:r w:rsidR="001B027B" w:rsidRPr="008D1B06">
        <w:rPr>
          <w:rFonts w:ascii="Book Antiqua" w:hAnsi="Book Antiqua"/>
          <w:lang w:val="es-ES_tradnl"/>
        </w:rPr>
        <w:t xml:space="preserve"> Ley Núm. 33 del 27 de junio de 1985, según enmendada conocida como la</w:t>
      </w:r>
      <w:r w:rsidRPr="008D1B06">
        <w:rPr>
          <w:rFonts w:ascii="Book Antiqua" w:hAnsi="Book Antiqua"/>
          <w:lang w:val="es-ES_tradnl"/>
        </w:rPr>
        <w:t xml:space="preserve"> “Ley para Establecer Requisitos Procesales Mínimos para la Suspensión de Servicios Públicos Esenciales”</w:t>
      </w:r>
      <w:r w:rsidR="00C4507E" w:rsidRPr="008D1B06">
        <w:rPr>
          <w:rFonts w:ascii="Book Antiqua" w:hAnsi="Book Antiqua"/>
          <w:lang w:val="es-ES_tradnl"/>
        </w:rPr>
        <w:t>,</w:t>
      </w:r>
      <w:r w:rsidR="00151285" w:rsidRPr="008D1B06">
        <w:rPr>
          <w:rFonts w:ascii="Book Antiqua" w:hAnsi="Book Antiqua"/>
          <w:lang w:val="es-ES_tradnl"/>
        </w:rPr>
        <w:t xml:space="preserve"> </w:t>
      </w:r>
      <w:r w:rsidR="001B027B" w:rsidRPr="008D1B06">
        <w:rPr>
          <w:rFonts w:ascii="Book Antiqua" w:hAnsi="Book Antiqua"/>
          <w:lang w:val="es-ES_tradnl"/>
        </w:rPr>
        <w:t>a los fines de</w:t>
      </w:r>
      <w:r w:rsidR="00C4507E" w:rsidRPr="008D1B06">
        <w:rPr>
          <w:rFonts w:ascii="Book Antiqua" w:hAnsi="Book Antiqua"/>
          <w:lang w:val="es-ES_tradnl"/>
        </w:rPr>
        <w:t xml:space="preserve"> ampliar y</w:t>
      </w:r>
      <w:r w:rsidR="001B027B" w:rsidRPr="008D1B06">
        <w:rPr>
          <w:rFonts w:ascii="Book Antiqua" w:hAnsi="Book Antiqua"/>
          <w:lang w:val="es-ES_tradnl"/>
        </w:rPr>
        <w:t xml:space="preserve"> </w:t>
      </w:r>
      <w:r w:rsidR="00C4507E" w:rsidRPr="008D1B06">
        <w:rPr>
          <w:rFonts w:ascii="Book Antiqua" w:hAnsi="Book Antiqua"/>
          <w:lang w:val="es-ES_tradnl"/>
        </w:rPr>
        <w:t xml:space="preserve">flexibilizar los </w:t>
      </w:r>
      <w:r w:rsidR="001B027B" w:rsidRPr="008D1B06">
        <w:rPr>
          <w:rFonts w:ascii="Book Antiqua" w:hAnsi="Book Antiqua"/>
          <w:lang w:val="es-ES_tradnl"/>
        </w:rPr>
        <w:t>planes de pagos</w:t>
      </w:r>
      <w:r w:rsidR="00C4507E" w:rsidRPr="008D1B06">
        <w:rPr>
          <w:rFonts w:ascii="Book Antiqua" w:hAnsi="Book Antiqua"/>
          <w:lang w:val="es-ES_tradnl"/>
        </w:rPr>
        <w:t xml:space="preserve"> que otorga un proveedor de servicio esencial para</w:t>
      </w:r>
      <w:r w:rsidR="001B027B" w:rsidRPr="008D1B06">
        <w:rPr>
          <w:rFonts w:ascii="Book Antiqua" w:hAnsi="Book Antiqua"/>
          <w:lang w:val="es-ES_tradnl"/>
        </w:rPr>
        <w:t xml:space="preserve"> </w:t>
      </w:r>
      <w:r w:rsidR="008D1B06">
        <w:rPr>
          <w:rFonts w:ascii="Book Antiqua" w:hAnsi="Book Antiqua"/>
          <w:lang w:val="es-ES_tradnl"/>
        </w:rPr>
        <w:t xml:space="preserve">que </w:t>
      </w:r>
      <w:r w:rsidR="001B027B" w:rsidRPr="008D1B06">
        <w:rPr>
          <w:rFonts w:ascii="Book Antiqua" w:hAnsi="Book Antiqua"/>
          <w:lang w:val="es-ES_tradnl"/>
        </w:rPr>
        <w:t xml:space="preserve">se ajuste a la realidad económica de cada </w:t>
      </w:r>
      <w:r w:rsidR="00C4507E" w:rsidRPr="008D1B06">
        <w:rPr>
          <w:rFonts w:ascii="Book Antiqua" w:hAnsi="Book Antiqua"/>
          <w:lang w:val="es-ES_tradnl"/>
        </w:rPr>
        <w:t>cliente, abonado o usuario</w:t>
      </w:r>
      <w:r w:rsidR="00C176C5" w:rsidRPr="008D1B06">
        <w:rPr>
          <w:rFonts w:ascii="Book Antiqua" w:hAnsi="Book Antiqua"/>
          <w:lang w:val="es-ES_tradnl"/>
        </w:rPr>
        <w:t>;</w:t>
      </w:r>
      <w:r w:rsidR="001B027B" w:rsidRPr="008D1B06">
        <w:rPr>
          <w:rFonts w:ascii="Book Antiqua" w:hAnsi="Book Antiqua"/>
          <w:lang w:val="es-ES_tradnl"/>
        </w:rPr>
        <w:t xml:space="preserve"> y para otros fines relacionados.</w:t>
      </w:r>
      <w:r w:rsidR="001B027B">
        <w:rPr>
          <w:rFonts w:ascii="Book Antiqua" w:hAnsi="Book Antiqua"/>
          <w:lang w:val="es-ES_tradnl"/>
        </w:rPr>
        <w:t xml:space="preserve"> </w:t>
      </w:r>
    </w:p>
    <w:p w14:paraId="423A4AA7" w14:textId="77777777" w:rsidR="008D1B06" w:rsidRPr="008B076C" w:rsidRDefault="008D1B06" w:rsidP="00ED4903">
      <w:pPr>
        <w:suppressLineNumbers/>
        <w:ind w:left="360" w:hanging="360"/>
        <w:jc w:val="both"/>
        <w:rPr>
          <w:rFonts w:ascii="Book Antiqua" w:hAnsi="Book Antiqua"/>
          <w:lang w:val="es-ES_tradnl"/>
        </w:rPr>
      </w:pPr>
    </w:p>
    <w:p w14:paraId="12021981" w14:textId="7599170B" w:rsidR="008B076C" w:rsidRDefault="008B076C" w:rsidP="00ED4903">
      <w:pPr>
        <w:suppressLineNumbers/>
        <w:ind w:firstLine="360"/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EXPOSICIÓN DE MOTIVOS</w:t>
      </w:r>
    </w:p>
    <w:p w14:paraId="31EDFA30" w14:textId="77777777" w:rsidR="00ED4903" w:rsidRDefault="00ED4903" w:rsidP="00ED4903">
      <w:pPr>
        <w:suppressLineNumbers/>
        <w:ind w:firstLine="360"/>
        <w:jc w:val="center"/>
        <w:rPr>
          <w:rFonts w:ascii="Book Antiqua" w:hAnsi="Book Antiqua"/>
          <w:lang w:val="es-ES_tradnl"/>
        </w:rPr>
      </w:pPr>
    </w:p>
    <w:p w14:paraId="4A8F0E40" w14:textId="22C6ACAC" w:rsidR="008B076C" w:rsidRDefault="008B076C" w:rsidP="00ED4903">
      <w:pPr>
        <w:suppressLineNumbers/>
        <w:ind w:firstLine="720"/>
        <w:jc w:val="both"/>
        <w:rPr>
          <w:rFonts w:ascii="Book Antiqua" w:hAnsi="Book Antiqua"/>
          <w:lang w:val="es-ES_tradnl"/>
        </w:rPr>
      </w:pPr>
      <w:r w:rsidRPr="008B076C">
        <w:rPr>
          <w:rFonts w:ascii="Book Antiqua" w:hAnsi="Book Antiqua"/>
          <w:lang w:val="es-ES_tradnl"/>
        </w:rPr>
        <w:t xml:space="preserve">La crisis económica que </w:t>
      </w:r>
      <w:r w:rsidR="0062632F">
        <w:rPr>
          <w:rFonts w:ascii="Book Antiqua" w:hAnsi="Book Antiqua"/>
          <w:lang w:val="es-ES_tradnl"/>
        </w:rPr>
        <w:t>enfrenta</w:t>
      </w:r>
      <w:r w:rsidRPr="008B076C">
        <w:rPr>
          <w:rFonts w:ascii="Book Antiqua" w:hAnsi="Book Antiqua"/>
          <w:lang w:val="es-ES_tradnl"/>
        </w:rPr>
        <w:t xml:space="preserve"> nuestro País ha </w:t>
      </w:r>
      <w:r w:rsidR="0062632F">
        <w:rPr>
          <w:rFonts w:ascii="Book Antiqua" w:hAnsi="Book Antiqua"/>
          <w:lang w:val="es-ES_tradnl"/>
        </w:rPr>
        <w:t>obliga</w:t>
      </w:r>
      <w:r w:rsidRPr="008B076C">
        <w:rPr>
          <w:rFonts w:ascii="Book Antiqua" w:hAnsi="Book Antiqua"/>
          <w:lang w:val="es-ES_tradnl"/>
        </w:rPr>
        <w:t>do a cientos de familias a realizar ajustes en sus gastos</w:t>
      </w:r>
      <w:r w:rsidR="0062632F">
        <w:rPr>
          <w:rFonts w:ascii="Book Antiqua" w:hAnsi="Book Antiqua"/>
          <w:lang w:val="es-ES_tradnl"/>
        </w:rPr>
        <w:t xml:space="preserve"> diarios para</w:t>
      </w:r>
      <w:r w:rsidRPr="008B076C">
        <w:rPr>
          <w:rFonts w:ascii="Book Antiqua" w:hAnsi="Book Antiqua"/>
          <w:lang w:val="es-ES_tradnl"/>
        </w:rPr>
        <w:t xml:space="preserve"> </w:t>
      </w:r>
      <w:r w:rsidR="006622C2">
        <w:rPr>
          <w:rFonts w:ascii="Book Antiqua" w:hAnsi="Book Antiqua"/>
          <w:lang w:val="es-ES_tradnl"/>
        </w:rPr>
        <w:t>satisface</w:t>
      </w:r>
      <w:r w:rsidRPr="008B076C">
        <w:rPr>
          <w:rFonts w:ascii="Book Antiqua" w:hAnsi="Book Antiqua"/>
          <w:lang w:val="es-ES_tradnl"/>
        </w:rPr>
        <w:t xml:space="preserve">r sus necesidades </w:t>
      </w:r>
      <w:r w:rsidR="006622C2">
        <w:rPr>
          <w:rFonts w:ascii="Book Antiqua" w:hAnsi="Book Antiqua"/>
          <w:lang w:val="es-ES_tradnl"/>
        </w:rPr>
        <w:t xml:space="preserve">más </w:t>
      </w:r>
      <w:r w:rsidRPr="008B076C">
        <w:rPr>
          <w:rFonts w:ascii="Book Antiqua" w:hAnsi="Book Antiqua"/>
          <w:lang w:val="es-ES_tradnl"/>
        </w:rPr>
        <w:t>básicas</w:t>
      </w:r>
      <w:r w:rsidR="006622C2">
        <w:rPr>
          <w:rFonts w:ascii="Book Antiqua" w:hAnsi="Book Antiqua"/>
          <w:lang w:val="es-ES_tradnl"/>
        </w:rPr>
        <w:t xml:space="preserve"> como</w:t>
      </w:r>
      <w:r w:rsidR="00C33082">
        <w:rPr>
          <w:rFonts w:ascii="Book Antiqua" w:hAnsi="Book Antiqua"/>
          <w:lang w:val="es-ES_tradnl"/>
        </w:rPr>
        <w:t xml:space="preserve"> lo son</w:t>
      </w:r>
      <w:r w:rsidR="00685B6C">
        <w:rPr>
          <w:rFonts w:ascii="Book Antiqua" w:hAnsi="Book Antiqua"/>
          <w:lang w:val="es-ES_tradnl"/>
        </w:rPr>
        <w:t>:</w:t>
      </w:r>
      <w:r w:rsidR="006622C2">
        <w:rPr>
          <w:rFonts w:ascii="Book Antiqua" w:hAnsi="Book Antiqua"/>
          <w:lang w:val="es-ES_tradnl"/>
        </w:rPr>
        <w:t xml:space="preserve"> </w:t>
      </w:r>
      <w:r w:rsidR="00C33082">
        <w:rPr>
          <w:rFonts w:ascii="Book Antiqua" w:hAnsi="Book Antiqua"/>
          <w:lang w:val="es-ES_tradnl"/>
        </w:rPr>
        <w:t>un lugar para vivir</w:t>
      </w:r>
      <w:r w:rsidR="006622C2">
        <w:rPr>
          <w:rFonts w:ascii="Book Antiqua" w:hAnsi="Book Antiqua"/>
          <w:lang w:val="es-ES_tradnl"/>
        </w:rPr>
        <w:t xml:space="preserve"> y comida</w:t>
      </w:r>
      <w:r w:rsidRPr="008B076C">
        <w:rPr>
          <w:rFonts w:ascii="Book Antiqua" w:hAnsi="Book Antiqua"/>
          <w:lang w:val="es-ES_tradnl"/>
        </w:rPr>
        <w:t xml:space="preserve">. </w:t>
      </w:r>
      <w:r w:rsidR="00685B6C">
        <w:rPr>
          <w:rFonts w:ascii="Book Antiqua" w:hAnsi="Book Antiqua"/>
          <w:lang w:val="es-ES_tradnl"/>
        </w:rPr>
        <w:t>Aun</w:t>
      </w:r>
      <w:r w:rsidR="00116B36">
        <w:rPr>
          <w:rFonts w:ascii="Book Antiqua" w:hAnsi="Book Antiqua"/>
          <w:lang w:val="es-ES_tradnl"/>
        </w:rPr>
        <w:t>que los servicios de energía eléctrica y de agua potable</w:t>
      </w:r>
      <w:r w:rsidR="00685B6C">
        <w:rPr>
          <w:rFonts w:ascii="Book Antiqua" w:hAnsi="Book Antiqua"/>
          <w:lang w:val="es-ES_tradnl"/>
        </w:rPr>
        <w:t xml:space="preserve"> también</w:t>
      </w:r>
      <w:r w:rsidR="00116B36">
        <w:rPr>
          <w:rFonts w:ascii="Book Antiqua" w:hAnsi="Book Antiqua"/>
          <w:lang w:val="es-ES_tradnl"/>
        </w:rPr>
        <w:t xml:space="preserve"> son servicios esenciales para las personas, </w:t>
      </w:r>
      <w:r w:rsidR="00ED7C6A">
        <w:rPr>
          <w:rFonts w:ascii="Book Antiqua" w:hAnsi="Book Antiqua"/>
          <w:lang w:val="es-ES_tradnl"/>
        </w:rPr>
        <w:t>los</w:t>
      </w:r>
      <w:r w:rsidRPr="008B076C">
        <w:rPr>
          <w:rFonts w:ascii="Book Antiqua" w:hAnsi="Book Antiqua"/>
          <w:lang w:val="es-ES_tradnl"/>
        </w:rPr>
        <w:t xml:space="preserve"> </w:t>
      </w:r>
      <w:r w:rsidR="00116B36">
        <w:rPr>
          <w:rFonts w:ascii="Book Antiqua" w:hAnsi="Book Antiqua"/>
          <w:lang w:val="es-ES_tradnl"/>
        </w:rPr>
        <w:t>abonados o usuarios</w:t>
      </w:r>
      <w:r w:rsidRPr="008B076C">
        <w:rPr>
          <w:rFonts w:ascii="Book Antiqua" w:hAnsi="Book Antiqua"/>
          <w:lang w:val="es-ES_tradnl"/>
        </w:rPr>
        <w:t xml:space="preserve"> que poseen cuentas de </w:t>
      </w:r>
      <w:r w:rsidR="00116B36">
        <w:rPr>
          <w:rFonts w:ascii="Book Antiqua" w:hAnsi="Book Antiqua"/>
          <w:lang w:val="es-ES_tradnl"/>
        </w:rPr>
        <w:t xml:space="preserve">estos </w:t>
      </w:r>
      <w:r w:rsidRPr="008B076C">
        <w:rPr>
          <w:rFonts w:ascii="Book Antiqua" w:hAnsi="Book Antiqua"/>
          <w:lang w:val="es-ES_tradnl"/>
        </w:rPr>
        <w:t>servicio</w:t>
      </w:r>
      <w:r w:rsidR="00116B36">
        <w:rPr>
          <w:rFonts w:ascii="Book Antiqua" w:hAnsi="Book Antiqua"/>
          <w:lang w:val="es-ES_tradnl"/>
        </w:rPr>
        <w:t>s</w:t>
      </w:r>
      <w:r w:rsidRPr="008B076C">
        <w:rPr>
          <w:rFonts w:ascii="Book Antiqua" w:hAnsi="Book Antiqua"/>
          <w:lang w:val="es-ES_tradnl"/>
        </w:rPr>
        <w:t xml:space="preserve"> han </w:t>
      </w:r>
      <w:r w:rsidR="00C33082">
        <w:rPr>
          <w:rFonts w:ascii="Book Antiqua" w:hAnsi="Book Antiqua"/>
          <w:lang w:val="es-ES_tradnl"/>
        </w:rPr>
        <w:t>incurrido</w:t>
      </w:r>
      <w:r w:rsidRPr="008B076C">
        <w:rPr>
          <w:rFonts w:ascii="Book Antiqua" w:hAnsi="Book Antiqua"/>
          <w:lang w:val="es-ES_tradnl"/>
        </w:rPr>
        <w:t xml:space="preserve"> en impago</w:t>
      </w:r>
      <w:r w:rsidR="00ED7C6A">
        <w:rPr>
          <w:rFonts w:ascii="Book Antiqua" w:hAnsi="Book Antiqua"/>
          <w:lang w:val="es-ES_tradnl"/>
        </w:rPr>
        <w:t>s</w:t>
      </w:r>
      <w:r w:rsidRPr="008B076C">
        <w:rPr>
          <w:rFonts w:ascii="Book Antiqua" w:hAnsi="Book Antiqua"/>
          <w:lang w:val="es-ES_tradnl"/>
        </w:rPr>
        <w:t xml:space="preserve"> de sus facturas mensuales</w:t>
      </w:r>
      <w:r w:rsidR="00685B6C">
        <w:rPr>
          <w:rFonts w:ascii="Book Antiqua" w:hAnsi="Book Antiqua"/>
          <w:lang w:val="es-ES_tradnl"/>
        </w:rPr>
        <w:t>. Esto, a pesar</w:t>
      </w:r>
      <w:r w:rsidR="00116B36">
        <w:rPr>
          <w:rFonts w:ascii="Book Antiqua" w:hAnsi="Book Antiqua"/>
          <w:lang w:val="es-ES_tradnl"/>
        </w:rPr>
        <w:t xml:space="preserve"> </w:t>
      </w:r>
      <w:r w:rsidR="00685B6C">
        <w:rPr>
          <w:rFonts w:ascii="Book Antiqua" w:hAnsi="Book Antiqua"/>
          <w:lang w:val="es-ES_tradnl"/>
        </w:rPr>
        <w:t>de tener</w:t>
      </w:r>
      <w:r w:rsidR="00116B36">
        <w:rPr>
          <w:rFonts w:ascii="Book Antiqua" w:hAnsi="Book Antiqua"/>
          <w:lang w:val="es-ES_tradnl"/>
        </w:rPr>
        <w:t xml:space="preserve"> la intención de pagar con prontitud, lamentablemente, sus ingresos</w:t>
      </w:r>
      <w:r w:rsidR="00FE12E6">
        <w:rPr>
          <w:rFonts w:ascii="Book Antiqua" w:hAnsi="Book Antiqua"/>
          <w:lang w:val="es-ES_tradnl"/>
        </w:rPr>
        <w:t xml:space="preserve"> no</w:t>
      </w:r>
      <w:r w:rsidR="00116B36">
        <w:rPr>
          <w:rFonts w:ascii="Book Antiqua" w:hAnsi="Book Antiqua"/>
          <w:lang w:val="es-ES_tradnl"/>
        </w:rPr>
        <w:t xml:space="preserve"> dan abasto.</w:t>
      </w:r>
    </w:p>
    <w:p w14:paraId="7110B72C" w14:textId="77777777" w:rsidR="00ED4903" w:rsidRPr="00ED7C6A" w:rsidRDefault="00ED4903" w:rsidP="00ED4903">
      <w:pPr>
        <w:suppressLineNumbers/>
        <w:ind w:firstLine="720"/>
        <w:jc w:val="both"/>
        <w:rPr>
          <w:rFonts w:ascii="Book Antiqua" w:hAnsi="Book Antiqua"/>
          <w:strike/>
          <w:lang w:val="es-ES_tradnl"/>
        </w:rPr>
      </w:pPr>
    </w:p>
    <w:p w14:paraId="6D2279E6" w14:textId="605383A7" w:rsidR="008B076C" w:rsidRDefault="00881DB0" w:rsidP="00ED4903">
      <w:pPr>
        <w:suppressLineNumbers/>
        <w:ind w:firstLine="72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Un</w:t>
      </w:r>
      <w:r w:rsidR="0062632F">
        <w:rPr>
          <w:rFonts w:ascii="Book Antiqua" w:hAnsi="Book Antiqua"/>
          <w:lang w:val="es-ES_tradnl"/>
        </w:rPr>
        <w:t xml:space="preserve"> factor que </w:t>
      </w:r>
      <w:r w:rsidR="00D33958">
        <w:rPr>
          <w:rFonts w:ascii="Book Antiqua" w:hAnsi="Book Antiqua"/>
          <w:lang w:val="es-ES_tradnl"/>
        </w:rPr>
        <w:t xml:space="preserve">agrava </w:t>
      </w:r>
      <w:r w:rsidR="00116B36">
        <w:rPr>
          <w:rFonts w:ascii="Book Antiqua" w:hAnsi="Book Antiqua"/>
          <w:lang w:val="es-ES_tradnl"/>
        </w:rPr>
        <w:t>est</w:t>
      </w:r>
      <w:r w:rsidR="00D33958">
        <w:rPr>
          <w:rFonts w:ascii="Book Antiqua" w:hAnsi="Book Antiqua"/>
          <w:lang w:val="es-ES_tradnl"/>
        </w:rPr>
        <w:t>a</w:t>
      </w:r>
      <w:r w:rsidR="0062632F">
        <w:rPr>
          <w:rFonts w:ascii="Book Antiqua" w:hAnsi="Book Antiqua"/>
          <w:lang w:val="es-ES_tradnl"/>
        </w:rPr>
        <w:t xml:space="preserve"> situación</w:t>
      </w:r>
      <w:r w:rsidR="00D33958">
        <w:rPr>
          <w:rFonts w:ascii="Book Antiqua" w:hAnsi="Book Antiqua"/>
          <w:lang w:val="es-ES_tradnl"/>
        </w:rPr>
        <w:t xml:space="preserve"> </w:t>
      </w:r>
      <w:r w:rsidR="0062632F">
        <w:rPr>
          <w:rFonts w:ascii="Book Antiqua" w:hAnsi="Book Antiqua"/>
          <w:lang w:val="es-ES_tradnl"/>
        </w:rPr>
        <w:t>es el</w:t>
      </w:r>
      <w:r w:rsidR="008B076C" w:rsidRPr="008B076C">
        <w:rPr>
          <w:rFonts w:ascii="Book Antiqua" w:hAnsi="Book Antiqua"/>
          <w:lang w:val="es-ES_tradnl"/>
        </w:rPr>
        <w:t xml:space="preserve"> pobre desempeño por parte de </w:t>
      </w:r>
      <w:r w:rsidR="0062632F">
        <w:rPr>
          <w:rFonts w:ascii="Book Antiqua" w:hAnsi="Book Antiqua"/>
          <w:lang w:val="es-ES_tradnl"/>
        </w:rPr>
        <w:t>los proveedores de servicios esenciales</w:t>
      </w:r>
      <w:r w:rsidR="008B076C" w:rsidRPr="008B076C">
        <w:rPr>
          <w:rFonts w:ascii="Book Antiqua" w:hAnsi="Book Antiqua"/>
          <w:lang w:val="es-ES_tradnl"/>
        </w:rPr>
        <w:t xml:space="preserve"> </w:t>
      </w:r>
      <w:r w:rsidR="006A5244">
        <w:rPr>
          <w:rFonts w:ascii="Book Antiqua" w:hAnsi="Book Antiqua"/>
          <w:lang w:val="es-ES_tradnl"/>
        </w:rPr>
        <w:t>al momento de</w:t>
      </w:r>
      <w:r w:rsidR="008B076C" w:rsidRPr="008B076C">
        <w:rPr>
          <w:rFonts w:ascii="Book Antiqua" w:hAnsi="Book Antiqua"/>
          <w:lang w:val="es-ES_tradnl"/>
        </w:rPr>
        <w:t xml:space="preserve"> efectuar los cortes de servicios</w:t>
      </w:r>
      <w:r w:rsidR="0062632F">
        <w:rPr>
          <w:rFonts w:ascii="Book Antiqua" w:hAnsi="Book Antiqua"/>
          <w:lang w:val="es-ES_tradnl"/>
        </w:rPr>
        <w:t xml:space="preserve"> dentro del marco legal aplicable,</w:t>
      </w:r>
      <w:r w:rsidR="008B076C" w:rsidRPr="008B076C">
        <w:rPr>
          <w:rFonts w:ascii="Book Antiqua" w:hAnsi="Book Antiqua"/>
          <w:lang w:val="es-ES_tradnl"/>
        </w:rPr>
        <w:t xml:space="preserve"> predispon</w:t>
      </w:r>
      <w:r w:rsidR="0062632F">
        <w:rPr>
          <w:rFonts w:ascii="Book Antiqua" w:hAnsi="Book Antiqua"/>
          <w:lang w:val="es-ES_tradnl"/>
        </w:rPr>
        <w:t>iendo</w:t>
      </w:r>
      <w:r w:rsidR="008B076C" w:rsidRPr="008B076C">
        <w:rPr>
          <w:rFonts w:ascii="Book Antiqua" w:hAnsi="Book Antiqua"/>
          <w:lang w:val="es-ES_tradnl"/>
        </w:rPr>
        <w:t xml:space="preserve"> que los clientes adeuden</w:t>
      </w:r>
      <w:r w:rsidR="00685B6C">
        <w:rPr>
          <w:rFonts w:ascii="Book Antiqua" w:hAnsi="Book Antiqua"/>
          <w:lang w:val="es-ES_tradnl"/>
        </w:rPr>
        <w:t>.</w:t>
      </w:r>
      <w:r w:rsidR="0062632F">
        <w:rPr>
          <w:rFonts w:ascii="Book Antiqua" w:hAnsi="Book Antiqua"/>
          <w:lang w:val="es-ES_tradnl"/>
        </w:rPr>
        <w:t xml:space="preserve"> Esto</w:t>
      </w:r>
      <w:r w:rsidR="008B076C" w:rsidRPr="008B076C">
        <w:rPr>
          <w:rFonts w:ascii="Book Antiqua" w:hAnsi="Book Antiqua"/>
          <w:lang w:val="es-ES_tradnl"/>
        </w:rPr>
        <w:t xml:space="preserve"> </w:t>
      </w:r>
      <w:r w:rsidR="0062632F">
        <w:rPr>
          <w:rFonts w:ascii="Book Antiqua" w:hAnsi="Book Antiqua"/>
          <w:lang w:val="es-ES_tradnl"/>
        </w:rPr>
        <w:t>ocasiona que</w:t>
      </w:r>
      <w:r w:rsidR="008B076C" w:rsidRPr="008B076C">
        <w:rPr>
          <w:rFonts w:ascii="Book Antiqua" w:hAnsi="Book Antiqua"/>
          <w:lang w:val="es-ES_tradnl"/>
        </w:rPr>
        <w:t xml:space="preserve"> </w:t>
      </w:r>
      <w:r w:rsidR="00D638B1">
        <w:rPr>
          <w:rFonts w:ascii="Book Antiqua" w:hAnsi="Book Antiqua"/>
          <w:lang w:val="es-ES_tradnl"/>
        </w:rPr>
        <w:t>el balance adeudado</w:t>
      </w:r>
      <w:r w:rsidR="008B076C" w:rsidRPr="008B076C">
        <w:rPr>
          <w:rFonts w:ascii="Book Antiqua" w:hAnsi="Book Antiqua"/>
          <w:lang w:val="es-ES_tradnl"/>
        </w:rPr>
        <w:t xml:space="preserve"> se</w:t>
      </w:r>
      <w:r w:rsidR="00D638B1">
        <w:rPr>
          <w:rFonts w:ascii="Book Antiqua" w:hAnsi="Book Antiqua"/>
          <w:lang w:val="es-ES_tradnl"/>
        </w:rPr>
        <w:t xml:space="preserve"> convierta en uno</w:t>
      </w:r>
      <w:r w:rsidR="008B076C" w:rsidRPr="008B076C">
        <w:rPr>
          <w:rFonts w:ascii="Book Antiqua" w:hAnsi="Book Antiqua"/>
          <w:lang w:val="es-ES_tradnl"/>
        </w:rPr>
        <w:t xml:space="preserve"> </w:t>
      </w:r>
      <w:r w:rsidR="00D638B1">
        <w:rPr>
          <w:rFonts w:ascii="Book Antiqua" w:hAnsi="Book Antiqua"/>
          <w:lang w:val="es-ES_tradnl"/>
        </w:rPr>
        <w:t>considerablemente elevado y los clientes tengan que recurrir a solicitar planes de pago para evitar la suspensión del servicio. Sin embargo</w:t>
      </w:r>
      <w:r w:rsidR="008B076C" w:rsidRPr="008B076C">
        <w:rPr>
          <w:rFonts w:ascii="Book Antiqua" w:hAnsi="Book Antiqua"/>
          <w:lang w:val="es-ES_tradnl"/>
        </w:rPr>
        <w:t xml:space="preserve">, </w:t>
      </w:r>
      <w:r w:rsidR="00D638B1">
        <w:rPr>
          <w:rFonts w:ascii="Book Antiqua" w:hAnsi="Book Antiqua"/>
          <w:lang w:val="es-ES_tradnl"/>
        </w:rPr>
        <w:t xml:space="preserve">se enfrentan a otra realidad: </w:t>
      </w:r>
      <w:r w:rsidR="008B076C" w:rsidRPr="008B076C">
        <w:rPr>
          <w:rFonts w:ascii="Book Antiqua" w:hAnsi="Book Antiqua"/>
          <w:lang w:val="es-ES_tradnl"/>
        </w:rPr>
        <w:t xml:space="preserve">la </w:t>
      </w:r>
      <w:r w:rsidR="00685B6C">
        <w:rPr>
          <w:rFonts w:ascii="Book Antiqua" w:hAnsi="Book Antiqua"/>
          <w:lang w:val="es-ES_tradnl"/>
        </w:rPr>
        <w:t>inexistencia</w:t>
      </w:r>
      <w:r w:rsidR="008B076C" w:rsidRPr="008B076C">
        <w:rPr>
          <w:rFonts w:ascii="Book Antiqua" w:hAnsi="Book Antiqua"/>
          <w:lang w:val="es-ES_tradnl"/>
        </w:rPr>
        <w:t xml:space="preserve"> de </w:t>
      </w:r>
      <w:r w:rsidR="00D638B1">
        <w:rPr>
          <w:rFonts w:ascii="Book Antiqua" w:hAnsi="Book Antiqua"/>
          <w:lang w:val="es-ES_tradnl"/>
        </w:rPr>
        <w:t xml:space="preserve">un </w:t>
      </w:r>
      <w:r w:rsidR="008B076C" w:rsidRPr="008B076C">
        <w:rPr>
          <w:rFonts w:ascii="Book Antiqua" w:hAnsi="Book Antiqua"/>
          <w:lang w:val="es-ES_tradnl"/>
        </w:rPr>
        <w:t xml:space="preserve">plan de pago razonable que </w:t>
      </w:r>
      <w:r w:rsidR="00D638B1">
        <w:rPr>
          <w:rFonts w:ascii="Book Antiqua" w:hAnsi="Book Antiqua"/>
          <w:lang w:val="es-ES_tradnl"/>
        </w:rPr>
        <w:t>considere</w:t>
      </w:r>
      <w:r w:rsidR="008B076C" w:rsidRPr="008B076C">
        <w:rPr>
          <w:rFonts w:ascii="Book Antiqua" w:hAnsi="Book Antiqua"/>
          <w:lang w:val="es-ES_tradnl"/>
        </w:rPr>
        <w:t xml:space="preserve"> los ingresos de la unidad familiar</w:t>
      </w:r>
      <w:r w:rsidR="00D638B1">
        <w:rPr>
          <w:rFonts w:ascii="Book Antiqua" w:hAnsi="Book Antiqua"/>
          <w:lang w:val="es-ES_tradnl"/>
        </w:rPr>
        <w:t>, limitando aún más su capacidad de pago o viéndose en la obligación de quedarse sin alguno de estos servicios esenciales.</w:t>
      </w:r>
    </w:p>
    <w:p w14:paraId="02AC732A" w14:textId="77777777" w:rsidR="00ED4903" w:rsidRDefault="00ED4903" w:rsidP="00ED4903">
      <w:pPr>
        <w:suppressLineNumbers/>
        <w:ind w:firstLine="720"/>
        <w:jc w:val="both"/>
        <w:rPr>
          <w:rFonts w:ascii="Book Antiqua" w:hAnsi="Book Antiqua"/>
          <w:lang w:val="es-ES_tradnl"/>
        </w:rPr>
      </w:pPr>
    </w:p>
    <w:p w14:paraId="65397540" w14:textId="4243F8C9" w:rsidR="00BE3672" w:rsidRDefault="002E76C4" w:rsidP="00ED4903">
      <w:pPr>
        <w:suppressLineNumbers/>
        <w:ind w:firstLine="72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La</w:t>
      </w:r>
      <w:r w:rsidR="00BE3672">
        <w:rPr>
          <w:rFonts w:ascii="Book Antiqua" w:hAnsi="Book Antiqua"/>
          <w:lang w:val="es-ES_tradnl"/>
        </w:rPr>
        <w:t xml:space="preserve"> Ley Núm. 33 de 27 de junio de 1985, según enmendada, conocida como “Ley para Establecer Requisitos Procesales Mínimos para la Suspensión de Servicios Públicos Esenciales”, </w:t>
      </w:r>
      <w:r>
        <w:rPr>
          <w:rFonts w:ascii="Book Antiqua" w:hAnsi="Book Antiqua"/>
          <w:lang w:val="es-ES_tradnl"/>
        </w:rPr>
        <w:t>establece que</w:t>
      </w:r>
      <w:r w:rsidR="00BE3672">
        <w:rPr>
          <w:rFonts w:ascii="Book Antiqua" w:hAnsi="Book Antiqua"/>
          <w:lang w:val="es-ES_tradnl"/>
        </w:rPr>
        <w:t xml:space="preserve"> los abonados o usuarios </w:t>
      </w:r>
      <w:r>
        <w:rPr>
          <w:rFonts w:ascii="Book Antiqua" w:hAnsi="Book Antiqua"/>
          <w:lang w:val="es-ES_tradnl"/>
        </w:rPr>
        <w:t xml:space="preserve">deben </w:t>
      </w:r>
      <w:r w:rsidR="00BE3672">
        <w:rPr>
          <w:rFonts w:ascii="Book Antiqua" w:hAnsi="Book Antiqua"/>
          <w:lang w:val="es-ES_tradnl"/>
        </w:rPr>
        <w:t>c</w:t>
      </w:r>
      <w:r>
        <w:rPr>
          <w:rFonts w:ascii="Book Antiqua" w:hAnsi="Book Antiqua"/>
          <w:lang w:val="es-ES_tradnl"/>
        </w:rPr>
        <w:t>ontar</w:t>
      </w:r>
      <w:r w:rsidR="00BE3672">
        <w:rPr>
          <w:rFonts w:ascii="Book Antiqua" w:hAnsi="Book Antiqua"/>
          <w:lang w:val="es-ES_tradnl"/>
        </w:rPr>
        <w:t xml:space="preserve"> con un proceso </w:t>
      </w:r>
      <w:r w:rsidR="00893BAC">
        <w:rPr>
          <w:rFonts w:ascii="Book Antiqua" w:hAnsi="Book Antiqua"/>
          <w:lang w:val="es-ES_tradnl"/>
        </w:rPr>
        <w:t>efectivo</w:t>
      </w:r>
      <w:r w:rsidR="00BE3672">
        <w:rPr>
          <w:rFonts w:ascii="Book Antiqua" w:hAnsi="Book Antiqua"/>
          <w:lang w:val="es-ES_tradnl"/>
        </w:rPr>
        <w:t xml:space="preserve"> para objetar la corrección y procedencia de los cargos facturados, así como</w:t>
      </w:r>
      <w:r>
        <w:rPr>
          <w:rFonts w:ascii="Book Antiqua" w:hAnsi="Book Antiqua"/>
          <w:lang w:val="es-ES_tradnl"/>
        </w:rPr>
        <w:t xml:space="preserve"> el derecho a recibir</w:t>
      </w:r>
      <w:r w:rsidR="00893BAC">
        <w:rPr>
          <w:rFonts w:ascii="Book Antiqua" w:hAnsi="Book Antiqua"/>
          <w:lang w:val="es-ES_tradnl"/>
        </w:rPr>
        <w:t xml:space="preserve"> </w:t>
      </w:r>
      <w:r w:rsidR="00BE3672">
        <w:rPr>
          <w:rFonts w:ascii="Book Antiqua" w:hAnsi="Book Antiqua"/>
          <w:lang w:val="es-ES_tradnl"/>
        </w:rPr>
        <w:t>una notificación</w:t>
      </w:r>
      <w:r w:rsidR="00893BAC">
        <w:rPr>
          <w:rFonts w:ascii="Book Antiqua" w:hAnsi="Book Antiqua"/>
          <w:lang w:val="es-ES_tradnl"/>
        </w:rPr>
        <w:t xml:space="preserve"> informada y adecuada antes de suspender el servicio por falta de pago. Sin embargo, </w:t>
      </w:r>
      <w:r w:rsidR="00D94134">
        <w:rPr>
          <w:rFonts w:ascii="Book Antiqua" w:hAnsi="Book Antiqua"/>
          <w:lang w:val="es-ES_tradnl"/>
        </w:rPr>
        <w:t>si como parte del proceso de impugnación el árbitro o examinador resuelve en contra del abonado</w:t>
      </w:r>
      <w:r w:rsidR="0026402E">
        <w:rPr>
          <w:rFonts w:ascii="Book Antiqua" w:hAnsi="Book Antiqua"/>
          <w:lang w:val="es-ES_tradnl"/>
        </w:rPr>
        <w:t>,</w:t>
      </w:r>
      <w:r w:rsidR="00D94134">
        <w:rPr>
          <w:rFonts w:ascii="Book Antiqua" w:hAnsi="Book Antiqua"/>
          <w:lang w:val="es-ES_tradnl"/>
        </w:rPr>
        <w:t xml:space="preserve"> solo se le concede a </w:t>
      </w:r>
      <w:r w:rsidR="0026402E">
        <w:rPr>
          <w:rFonts w:ascii="Book Antiqua" w:hAnsi="Book Antiqua"/>
          <w:lang w:val="es-ES_tradnl"/>
        </w:rPr>
        <w:t>é</w:t>
      </w:r>
      <w:r w:rsidR="00D94134">
        <w:rPr>
          <w:rFonts w:ascii="Book Antiqua" w:hAnsi="Book Antiqua"/>
          <w:lang w:val="es-ES_tradnl"/>
        </w:rPr>
        <w:t xml:space="preserve">ste un plazo de (20) días para pagar el balance de la deuda facturada a partir de la notificación de la decisión. Dicho plan de pago no podrá ser mayor al </w:t>
      </w:r>
      <w:proofErr w:type="gramStart"/>
      <w:r>
        <w:rPr>
          <w:rFonts w:ascii="Book Antiqua" w:hAnsi="Book Antiqua"/>
          <w:lang w:val="es-ES_tradnl"/>
        </w:rPr>
        <w:t>cincuenta porciento</w:t>
      </w:r>
      <w:proofErr w:type="gramEnd"/>
      <w:r>
        <w:rPr>
          <w:rFonts w:ascii="Book Antiqua" w:hAnsi="Book Antiqua"/>
          <w:lang w:val="es-ES_tradnl"/>
        </w:rPr>
        <w:t xml:space="preserve"> (</w:t>
      </w:r>
      <w:r w:rsidR="00D94134">
        <w:rPr>
          <w:rFonts w:ascii="Book Antiqua" w:hAnsi="Book Antiqua"/>
          <w:lang w:val="es-ES_tradnl"/>
        </w:rPr>
        <w:t>50%</w:t>
      </w:r>
      <w:r>
        <w:rPr>
          <w:rFonts w:ascii="Book Antiqua" w:hAnsi="Book Antiqua"/>
          <w:lang w:val="es-ES_tradnl"/>
        </w:rPr>
        <w:t>)</w:t>
      </w:r>
      <w:r w:rsidR="00D94134">
        <w:rPr>
          <w:rFonts w:ascii="Book Antiqua" w:hAnsi="Book Antiqua"/>
          <w:lang w:val="es-ES_tradnl"/>
        </w:rPr>
        <w:t xml:space="preserve"> del total de la deuda y</w:t>
      </w:r>
      <w:r w:rsidR="0026402E">
        <w:rPr>
          <w:rFonts w:ascii="Book Antiqua" w:hAnsi="Book Antiqua"/>
          <w:lang w:val="es-ES_tradnl"/>
        </w:rPr>
        <w:t>,</w:t>
      </w:r>
      <w:r w:rsidR="00D94134">
        <w:rPr>
          <w:rFonts w:ascii="Book Antiqua" w:hAnsi="Book Antiqua"/>
          <w:lang w:val="es-ES_tradnl"/>
        </w:rPr>
        <w:t xml:space="preserve"> en caso de incumplimiento</w:t>
      </w:r>
      <w:r w:rsidR="0026402E">
        <w:rPr>
          <w:rFonts w:ascii="Book Antiqua" w:hAnsi="Book Antiqua"/>
          <w:lang w:val="es-ES_tradnl"/>
        </w:rPr>
        <w:t>,</w:t>
      </w:r>
      <w:r w:rsidR="00D94134">
        <w:rPr>
          <w:rFonts w:ascii="Book Antiqua" w:hAnsi="Book Antiqua"/>
          <w:lang w:val="es-ES_tradnl"/>
        </w:rPr>
        <w:t xml:space="preserve"> el proveedor de servicio esencial podrá suspender, desconectar y dar de baja el servicio. </w:t>
      </w:r>
      <w:r w:rsidR="006065BC">
        <w:rPr>
          <w:rFonts w:ascii="Book Antiqua" w:hAnsi="Book Antiqua"/>
          <w:lang w:val="es-ES_tradnl"/>
        </w:rPr>
        <w:t>No obstante, para que se active este mecanismo</w:t>
      </w:r>
      <w:r w:rsidR="0026402E">
        <w:rPr>
          <w:rFonts w:ascii="Book Antiqua" w:hAnsi="Book Antiqua"/>
          <w:lang w:val="es-ES_tradnl"/>
        </w:rPr>
        <w:t xml:space="preserve"> es necesario que se haya impugnado la factura conforme a Derecho</w:t>
      </w:r>
      <w:r w:rsidR="00E37D98">
        <w:rPr>
          <w:rFonts w:ascii="Book Antiqua" w:hAnsi="Book Antiqua"/>
          <w:lang w:val="es-ES_tradnl"/>
        </w:rPr>
        <w:t>.</w:t>
      </w:r>
      <w:r>
        <w:rPr>
          <w:rFonts w:ascii="Book Antiqua" w:hAnsi="Book Antiqua"/>
          <w:lang w:val="es-ES_tradnl"/>
        </w:rPr>
        <w:t xml:space="preserve"> </w:t>
      </w:r>
      <w:r w:rsidR="00E37D98">
        <w:rPr>
          <w:rFonts w:ascii="Book Antiqua" w:hAnsi="Book Antiqua"/>
          <w:lang w:val="es-ES_tradnl"/>
        </w:rPr>
        <w:t>E</w:t>
      </w:r>
      <w:r>
        <w:rPr>
          <w:rFonts w:ascii="Book Antiqua" w:hAnsi="Book Antiqua"/>
          <w:lang w:val="es-ES_tradnl"/>
        </w:rPr>
        <w:t>n caso de que el proveedor no haya sido diligente</w:t>
      </w:r>
      <w:r w:rsidR="00E37D98">
        <w:rPr>
          <w:rFonts w:ascii="Book Antiqua" w:hAnsi="Book Antiqua"/>
          <w:lang w:val="es-ES_tradnl"/>
        </w:rPr>
        <w:t>, dependerá de que el abonado o usuario solicite un plan de pago de buena fe o reciba la notificación previa a la suspensión del servicio</w:t>
      </w:r>
      <w:r w:rsidR="0026402E">
        <w:rPr>
          <w:rFonts w:ascii="Book Antiqua" w:hAnsi="Book Antiqua"/>
          <w:lang w:val="es-ES_tradnl"/>
        </w:rPr>
        <w:t xml:space="preserve">. </w:t>
      </w:r>
    </w:p>
    <w:p w14:paraId="6F3A8B40" w14:textId="77777777" w:rsidR="00ED4903" w:rsidRDefault="00ED4903" w:rsidP="00ED4903">
      <w:pPr>
        <w:suppressLineNumbers/>
        <w:ind w:firstLine="720"/>
        <w:jc w:val="both"/>
        <w:rPr>
          <w:rFonts w:ascii="Book Antiqua" w:hAnsi="Book Antiqua"/>
          <w:lang w:val="es-ES_tradnl"/>
        </w:rPr>
      </w:pPr>
    </w:p>
    <w:p w14:paraId="0F2C39DD" w14:textId="5870BC2F" w:rsidR="00CE0E9C" w:rsidRDefault="00DB586B" w:rsidP="00ED4903">
      <w:pPr>
        <w:suppressLineNumbers/>
        <w:ind w:firstLine="72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Por otra parte</w:t>
      </w:r>
      <w:r w:rsidR="00CE0E9C">
        <w:rPr>
          <w:rFonts w:ascii="Book Antiqua" w:hAnsi="Book Antiqua"/>
          <w:lang w:val="es-ES_tradnl"/>
        </w:rPr>
        <w:t>, el Artículo 8 de la Ley Núm. 33 de 27 de junio de 1985, según enmendada, dispone que:</w:t>
      </w:r>
    </w:p>
    <w:p w14:paraId="26E530D9" w14:textId="77777777" w:rsidR="00ED4903" w:rsidRDefault="00ED4903" w:rsidP="00ED4903">
      <w:pPr>
        <w:suppressLineNumbers/>
        <w:ind w:firstLine="720"/>
        <w:jc w:val="both"/>
        <w:rPr>
          <w:rFonts w:ascii="Book Antiqua" w:hAnsi="Book Antiqua"/>
          <w:lang w:val="es-ES_tradnl"/>
        </w:rPr>
      </w:pPr>
    </w:p>
    <w:p w14:paraId="0D7D7171" w14:textId="0FA9E7FD" w:rsidR="00DB586B" w:rsidRDefault="00B719D0" w:rsidP="00ED4903">
      <w:pPr>
        <w:suppressLineNumbers/>
        <w:ind w:left="720" w:right="72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Cuando los cargos incluyan tres (3) o más mensualidades</w:t>
      </w:r>
      <w:r w:rsidR="00DB586B">
        <w:rPr>
          <w:rFonts w:ascii="Book Antiqua" w:hAnsi="Book Antiqua"/>
          <w:lang w:val="es-ES_tradnl"/>
        </w:rPr>
        <w:t xml:space="preserve"> vencidas por servicios </w:t>
      </w:r>
      <w:r w:rsidR="00DB586B" w:rsidRPr="00DB586B">
        <w:rPr>
          <w:rFonts w:ascii="Book Antiqua" w:hAnsi="Book Antiqua"/>
          <w:b/>
          <w:bCs/>
          <w:lang w:val="es-ES_tradnl"/>
        </w:rPr>
        <w:t>que no habían sido previamente facturados</w:t>
      </w:r>
      <w:r w:rsidR="00DB586B">
        <w:rPr>
          <w:rFonts w:ascii="Book Antiqua" w:hAnsi="Book Antiqua"/>
          <w:lang w:val="es-ES_tradnl"/>
        </w:rPr>
        <w:t xml:space="preserve">, la autoridad, instrumentalidad gubernamental, corporación pública y/o alianza público-privada participativa deberá ofrecerle al abonado o usuario un plan de pago razonable, </w:t>
      </w:r>
      <w:r w:rsidR="00DB586B" w:rsidRPr="00DB586B">
        <w:rPr>
          <w:rFonts w:ascii="Book Antiqua" w:hAnsi="Book Antiqua"/>
          <w:b/>
          <w:bCs/>
          <w:lang w:val="es-ES_tradnl"/>
        </w:rPr>
        <w:t>de acuerdo con sus medios económicos</w:t>
      </w:r>
      <w:r w:rsidR="00DB586B">
        <w:rPr>
          <w:rFonts w:ascii="Book Antiqua" w:hAnsi="Book Antiqua"/>
          <w:lang w:val="es-ES_tradnl"/>
        </w:rPr>
        <w:t xml:space="preserve">, cuya duración podrá extenderse hasta por veinticuatro (24) meses </w:t>
      </w:r>
      <w:r w:rsidR="00DB586B" w:rsidRPr="00DB586B">
        <w:rPr>
          <w:rFonts w:ascii="Book Antiqua" w:hAnsi="Book Antiqua"/>
          <w:b/>
          <w:bCs/>
          <w:lang w:val="es-ES_tradnl"/>
        </w:rPr>
        <w:t>(énfasis suplido)</w:t>
      </w:r>
      <w:r w:rsidR="00DB586B">
        <w:rPr>
          <w:rFonts w:ascii="Book Antiqua" w:hAnsi="Book Antiqua"/>
          <w:lang w:val="es-ES_tradnl"/>
        </w:rPr>
        <w:t>.</w:t>
      </w:r>
    </w:p>
    <w:p w14:paraId="4357A0E9" w14:textId="77777777" w:rsidR="00ED4903" w:rsidRDefault="00ED4903" w:rsidP="00ED4903">
      <w:pPr>
        <w:suppressLineNumbers/>
        <w:ind w:left="720" w:right="720"/>
        <w:jc w:val="both"/>
        <w:rPr>
          <w:rFonts w:ascii="Book Antiqua" w:hAnsi="Book Antiqua"/>
          <w:lang w:val="es-ES_tradnl"/>
        </w:rPr>
      </w:pPr>
    </w:p>
    <w:p w14:paraId="7D109E44" w14:textId="77777777" w:rsidR="00845583" w:rsidRDefault="009729B7" w:rsidP="00ED4903">
      <w:pPr>
        <w:suppressLineNumbers/>
        <w:ind w:firstLine="720"/>
        <w:jc w:val="both"/>
        <w:rPr>
          <w:rFonts w:ascii="Book Antiqua" w:hAnsi="Book Antiqua"/>
          <w:lang w:val="es-ES_tradnl"/>
        </w:rPr>
      </w:pPr>
      <w:r w:rsidRPr="00C036ED">
        <w:rPr>
          <w:rFonts w:ascii="Book Antiqua" w:hAnsi="Book Antiqua"/>
          <w:lang w:val="es-ES_tradnl"/>
        </w:rPr>
        <w:t xml:space="preserve">La política pública del Gobierno de Puerto Rico debe estar dirigida a promover y garantizar los servicios esenciales. </w:t>
      </w:r>
      <w:r w:rsidR="00E37D98" w:rsidRPr="00C036ED">
        <w:rPr>
          <w:rFonts w:ascii="Book Antiqua" w:hAnsi="Book Antiqua"/>
          <w:lang w:val="es-ES_tradnl"/>
        </w:rPr>
        <w:t xml:space="preserve">Por consiguiente, es importante que esta Asamblea Legislativa reevalúe las alternativas de planes de pago que </w:t>
      </w:r>
      <w:r w:rsidR="00C036ED" w:rsidRPr="00C036ED">
        <w:rPr>
          <w:rFonts w:ascii="Book Antiqua" w:hAnsi="Book Antiqua"/>
          <w:lang w:val="es-ES_tradnl"/>
        </w:rPr>
        <w:t>tienen</w:t>
      </w:r>
      <w:r w:rsidR="00E37D98" w:rsidRPr="00C036ED">
        <w:rPr>
          <w:rFonts w:ascii="Book Antiqua" w:hAnsi="Book Antiqua"/>
          <w:lang w:val="es-ES_tradnl"/>
        </w:rPr>
        <w:t xml:space="preserve"> los abonados y usuarios de los diferentes proveedores de servicios esenciales, </w:t>
      </w:r>
      <w:r w:rsidR="00C036ED">
        <w:rPr>
          <w:rFonts w:ascii="Book Antiqua" w:hAnsi="Book Antiqua"/>
          <w:lang w:val="es-ES_tradnl"/>
        </w:rPr>
        <w:t>para</w:t>
      </w:r>
      <w:r w:rsidR="00C036ED" w:rsidRPr="00C036ED">
        <w:rPr>
          <w:rFonts w:ascii="Book Antiqua" w:hAnsi="Book Antiqua"/>
          <w:lang w:val="es-ES_tradnl"/>
        </w:rPr>
        <w:t xml:space="preserve"> que consider</w:t>
      </w:r>
      <w:r w:rsidR="00C036ED">
        <w:rPr>
          <w:rFonts w:ascii="Book Antiqua" w:hAnsi="Book Antiqua"/>
          <w:lang w:val="es-ES_tradnl"/>
        </w:rPr>
        <w:t>e</w:t>
      </w:r>
      <w:r w:rsidR="00C036ED" w:rsidRPr="00C036ED">
        <w:rPr>
          <w:rFonts w:ascii="Book Antiqua" w:hAnsi="Book Antiqua"/>
          <w:lang w:val="es-ES_tradnl"/>
        </w:rPr>
        <w:t xml:space="preserve">n los medios económicos con los que estos cuentan. Esto, </w:t>
      </w:r>
      <w:r w:rsidR="00E37D98" w:rsidRPr="00C036ED">
        <w:rPr>
          <w:rFonts w:ascii="Book Antiqua" w:hAnsi="Book Antiqua"/>
          <w:lang w:val="es-ES_tradnl"/>
        </w:rPr>
        <w:t xml:space="preserve">en aras </w:t>
      </w:r>
      <w:r w:rsidR="00F80111" w:rsidRPr="00C036ED">
        <w:rPr>
          <w:rFonts w:ascii="Book Antiqua" w:hAnsi="Book Antiqua"/>
          <w:lang w:val="es-ES_tradnl"/>
        </w:rPr>
        <w:t>de flexibilizar la otorgación de estos</w:t>
      </w:r>
      <w:r w:rsidR="00C036ED" w:rsidRPr="00C036ED">
        <w:rPr>
          <w:rFonts w:ascii="Book Antiqua" w:hAnsi="Book Antiqua"/>
          <w:lang w:val="es-ES_tradnl"/>
        </w:rPr>
        <w:t xml:space="preserve"> planes de pago</w:t>
      </w:r>
      <w:r w:rsidR="00CE0E9C" w:rsidRPr="00C036ED">
        <w:rPr>
          <w:rFonts w:ascii="Book Antiqua" w:hAnsi="Book Antiqua"/>
          <w:lang w:val="es-ES_tradnl"/>
        </w:rPr>
        <w:t xml:space="preserve">, </w:t>
      </w:r>
      <w:r w:rsidR="00C036ED" w:rsidRPr="00C036ED">
        <w:rPr>
          <w:rFonts w:ascii="Book Antiqua" w:hAnsi="Book Antiqua"/>
          <w:lang w:val="es-ES_tradnl"/>
        </w:rPr>
        <w:t>proveyendo</w:t>
      </w:r>
      <w:r w:rsidR="00CE0E9C" w:rsidRPr="00C036ED">
        <w:rPr>
          <w:rFonts w:ascii="Book Antiqua" w:hAnsi="Book Antiqua"/>
          <w:lang w:val="es-ES_tradnl"/>
        </w:rPr>
        <w:t xml:space="preserve"> garantías mínimas,</w:t>
      </w:r>
      <w:r w:rsidR="00F80111" w:rsidRPr="00C036ED">
        <w:rPr>
          <w:rFonts w:ascii="Book Antiqua" w:hAnsi="Book Antiqua"/>
          <w:lang w:val="es-ES_tradnl"/>
        </w:rPr>
        <w:t xml:space="preserve"> </w:t>
      </w:r>
      <w:r w:rsidRPr="00C036ED">
        <w:rPr>
          <w:rFonts w:ascii="Book Antiqua" w:hAnsi="Book Antiqua"/>
          <w:lang w:val="es-ES_tradnl"/>
        </w:rPr>
        <w:t>para que los ciudadanos puedan continuar beneficiándose del servicio esencial y, a la vez, ir cumpliendo con los pagos justos y accesibles acordados</w:t>
      </w:r>
      <w:r w:rsidR="00C036ED" w:rsidRPr="00C036ED">
        <w:rPr>
          <w:rFonts w:ascii="Book Antiqua" w:hAnsi="Book Antiqua"/>
          <w:lang w:val="es-ES_tradnl"/>
        </w:rPr>
        <w:t>, indistintamente de si los cargos fueron o no previamente facturados</w:t>
      </w:r>
      <w:r w:rsidRPr="00C036ED">
        <w:rPr>
          <w:rFonts w:ascii="Book Antiqua" w:hAnsi="Book Antiqua"/>
          <w:lang w:val="es-ES_tradnl"/>
        </w:rPr>
        <w:t>.</w:t>
      </w:r>
      <w:r>
        <w:rPr>
          <w:rFonts w:ascii="Book Antiqua" w:hAnsi="Book Antiqua"/>
          <w:lang w:val="es-ES_tradnl"/>
        </w:rPr>
        <w:t xml:space="preserve"> </w:t>
      </w:r>
    </w:p>
    <w:p w14:paraId="24017621" w14:textId="77777777" w:rsidR="00ED4903" w:rsidRDefault="00ED4903" w:rsidP="00ED4903">
      <w:pPr>
        <w:suppressLineNumbers/>
        <w:ind w:firstLine="720"/>
        <w:jc w:val="both"/>
        <w:rPr>
          <w:rFonts w:ascii="Book Antiqua" w:hAnsi="Book Antiqua"/>
          <w:lang w:val="es-ES_tradnl"/>
        </w:rPr>
      </w:pPr>
    </w:p>
    <w:p w14:paraId="57476DB1" w14:textId="77777777" w:rsidR="00845583" w:rsidRDefault="008B076C" w:rsidP="00845583">
      <w:pPr>
        <w:suppressLineNumbers/>
        <w:spacing w:line="480" w:lineRule="auto"/>
        <w:jc w:val="both"/>
        <w:rPr>
          <w:rFonts w:ascii="Book Antiqua" w:hAnsi="Book Antiqua"/>
          <w:i/>
          <w:lang w:val="es-ES_tradnl"/>
        </w:rPr>
      </w:pPr>
      <w:r>
        <w:rPr>
          <w:rFonts w:ascii="Book Antiqua" w:hAnsi="Book Antiqua"/>
          <w:i/>
          <w:lang w:val="es-ES_tradnl"/>
        </w:rPr>
        <w:t>DECRÉTASE POR LA ASAMBLEA LEGISLATIVA DE PUERTO RICO</w:t>
      </w:r>
      <w:r w:rsidR="00845583">
        <w:rPr>
          <w:rFonts w:ascii="Book Antiqua" w:hAnsi="Book Antiqua"/>
          <w:i/>
          <w:lang w:val="es-ES_tradnl"/>
        </w:rPr>
        <w:t>:</w:t>
      </w:r>
    </w:p>
    <w:p w14:paraId="7635AA9F" w14:textId="16EE83EA" w:rsidR="00C176C5" w:rsidRDefault="00CE0E9C" w:rsidP="00845583">
      <w:pPr>
        <w:spacing w:line="480" w:lineRule="auto"/>
        <w:ind w:firstLine="72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Sección</w:t>
      </w:r>
      <w:r w:rsidR="00C176C5">
        <w:rPr>
          <w:rFonts w:ascii="Book Antiqua" w:hAnsi="Book Antiqua"/>
          <w:lang w:val="es-ES_tradnl"/>
        </w:rPr>
        <w:t xml:space="preserve"> 1.</w:t>
      </w:r>
      <w:r>
        <w:rPr>
          <w:rFonts w:ascii="Book Antiqua" w:hAnsi="Book Antiqua"/>
          <w:lang w:val="es-ES_tradnl"/>
        </w:rPr>
        <w:t>-</w:t>
      </w:r>
      <w:r w:rsidR="00C176C5">
        <w:rPr>
          <w:rFonts w:ascii="Book Antiqua" w:hAnsi="Book Antiqua"/>
          <w:lang w:val="es-ES_tradnl"/>
        </w:rPr>
        <w:t xml:space="preserve">Se </w:t>
      </w:r>
      <w:r w:rsidR="00C036ED">
        <w:rPr>
          <w:rFonts w:ascii="Book Antiqua" w:hAnsi="Book Antiqua"/>
          <w:lang w:val="es-ES_tradnl"/>
        </w:rPr>
        <w:t>enmienda el</w:t>
      </w:r>
      <w:r w:rsidR="00C176C5">
        <w:rPr>
          <w:rFonts w:ascii="Book Antiqua" w:hAnsi="Book Antiqua"/>
          <w:lang w:val="es-ES_tradnl"/>
        </w:rPr>
        <w:t xml:space="preserve"> Artículo </w:t>
      </w:r>
      <w:r w:rsidR="00927EF6">
        <w:rPr>
          <w:rFonts w:ascii="Book Antiqua" w:hAnsi="Book Antiqua"/>
          <w:lang w:val="es-ES_tradnl"/>
        </w:rPr>
        <w:t>8</w:t>
      </w:r>
      <w:r w:rsidR="00C176C5">
        <w:rPr>
          <w:rFonts w:ascii="Book Antiqua" w:hAnsi="Book Antiqua"/>
          <w:lang w:val="es-ES_tradnl"/>
        </w:rPr>
        <w:t xml:space="preserve"> </w:t>
      </w:r>
      <w:r w:rsidR="00C036ED">
        <w:rPr>
          <w:rFonts w:ascii="Book Antiqua" w:hAnsi="Book Antiqua"/>
          <w:lang w:val="es-ES_tradnl"/>
        </w:rPr>
        <w:t>de</w:t>
      </w:r>
      <w:r w:rsidR="002F07A5">
        <w:rPr>
          <w:rFonts w:ascii="Book Antiqua" w:hAnsi="Book Antiqua"/>
          <w:lang w:val="es-ES_tradnl"/>
        </w:rPr>
        <w:t xml:space="preserve"> la</w:t>
      </w:r>
      <w:r w:rsidR="00C176C5">
        <w:rPr>
          <w:rFonts w:ascii="Book Antiqua" w:hAnsi="Book Antiqua"/>
          <w:lang w:val="es-ES_tradnl"/>
        </w:rPr>
        <w:t xml:space="preserve"> Ley Núm. 33 del 27 de junio de 1985, según enmendada</w:t>
      </w:r>
      <w:r>
        <w:rPr>
          <w:rFonts w:ascii="Book Antiqua" w:hAnsi="Book Antiqua"/>
          <w:lang w:val="es-ES_tradnl"/>
        </w:rPr>
        <w:t>,</w:t>
      </w:r>
      <w:r w:rsidR="00C176C5">
        <w:rPr>
          <w:rFonts w:ascii="Book Antiqua" w:hAnsi="Book Antiqua"/>
          <w:lang w:val="es-ES_tradnl"/>
        </w:rPr>
        <w:t xml:space="preserve"> conocida como “</w:t>
      </w:r>
      <w:r w:rsidR="00C176C5" w:rsidRPr="00C176C5">
        <w:rPr>
          <w:rFonts w:ascii="Book Antiqua" w:hAnsi="Book Antiqua"/>
          <w:lang w:val="es-ES_tradnl"/>
        </w:rPr>
        <w:t>Ley para Establecer Requisitos Procesales Mínimos para la Suspensión de Servicios Públicos Esenciales</w:t>
      </w:r>
      <w:r w:rsidR="00C176C5">
        <w:rPr>
          <w:rFonts w:ascii="Book Antiqua" w:hAnsi="Book Antiqua"/>
          <w:lang w:val="es-ES_tradnl"/>
        </w:rPr>
        <w:t>” para que lea como sigue:</w:t>
      </w:r>
    </w:p>
    <w:p w14:paraId="37FE80A7" w14:textId="202810D1" w:rsidR="008B076C" w:rsidRDefault="00C815F8" w:rsidP="00845583">
      <w:pPr>
        <w:spacing w:line="480" w:lineRule="auto"/>
        <w:ind w:left="720" w:firstLine="720"/>
        <w:jc w:val="both"/>
        <w:rPr>
          <w:rFonts w:ascii="Book Antiqua" w:hAnsi="Book Antiqua"/>
          <w:i/>
          <w:iCs/>
          <w:lang w:val="es-ES_tradnl"/>
        </w:rPr>
      </w:pPr>
      <w:r>
        <w:rPr>
          <w:rFonts w:ascii="Book Antiqua" w:hAnsi="Book Antiqua"/>
          <w:i/>
          <w:iCs/>
          <w:lang w:val="es-ES_tradnl"/>
        </w:rPr>
        <w:lastRenderedPageBreak/>
        <w:t>“</w:t>
      </w:r>
      <w:r w:rsidR="000E32FA" w:rsidRPr="002F07A5">
        <w:rPr>
          <w:rFonts w:ascii="Book Antiqua" w:hAnsi="Book Antiqua"/>
          <w:i/>
          <w:iCs/>
          <w:lang w:val="es-ES_tradnl"/>
        </w:rPr>
        <w:t xml:space="preserve">Artículo </w:t>
      </w:r>
      <w:r w:rsidR="00927EF6">
        <w:rPr>
          <w:rFonts w:ascii="Book Antiqua" w:hAnsi="Book Antiqua"/>
          <w:i/>
          <w:iCs/>
          <w:lang w:val="es-ES_tradnl"/>
        </w:rPr>
        <w:t>8</w:t>
      </w:r>
      <w:r w:rsidR="00C176C5" w:rsidRPr="002F07A5">
        <w:rPr>
          <w:rFonts w:ascii="Book Antiqua" w:hAnsi="Book Antiqua"/>
          <w:i/>
          <w:iCs/>
          <w:lang w:val="es-ES_tradnl"/>
        </w:rPr>
        <w:t>–</w:t>
      </w:r>
      <w:r w:rsidR="009729B7">
        <w:rPr>
          <w:rFonts w:ascii="Book Antiqua" w:hAnsi="Book Antiqua"/>
          <w:i/>
          <w:iCs/>
          <w:lang w:val="es-ES_tradnl"/>
        </w:rPr>
        <w:t xml:space="preserve"> </w:t>
      </w:r>
    </w:p>
    <w:p w14:paraId="14C3E6C1" w14:textId="54655B3D" w:rsidR="00E15625" w:rsidRPr="00EF473F" w:rsidRDefault="00EF473F" w:rsidP="00845583">
      <w:pPr>
        <w:spacing w:line="480" w:lineRule="auto"/>
        <w:ind w:left="720" w:firstLine="720"/>
        <w:jc w:val="both"/>
        <w:rPr>
          <w:b/>
          <w:bCs/>
          <w:lang w:val="es-ES"/>
        </w:rPr>
      </w:pPr>
      <w:r>
        <w:rPr>
          <w:b/>
          <w:bCs/>
          <w:lang w:val="es-ES"/>
        </w:rPr>
        <w:t>[</w:t>
      </w:r>
      <w:r w:rsidR="00E15625" w:rsidRPr="00EF473F">
        <w:rPr>
          <w:b/>
          <w:bCs/>
          <w:lang w:val="es-ES"/>
        </w:rPr>
        <w:t>Nada de lo aquí dispuesto impedirá que la autoridad, instrumentalidad gubernamental, corporación pública y/o alianzas público-privadas participativas, le conceda a sus abonados o usuarios otros derechos más amplios que los prescritos anteriormente.</w:t>
      </w:r>
      <w:r>
        <w:rPr>
          <w:b/>
          <w:bCs/>
          <w:lang w:val="es-ES"/>
        </w:rPr>
        <w:t>]</w:t>
      </w:r>
      <w:r w:rsidR="00E15625" w:rsidRPr="00EF473F">
        <w:rPr>
          <w:b/>
          <w:bCs/>
          <w:lang w:val="es-ES"/>
        </w:rPr>
        <w:t xml:space="preserve"> </w:t>
      </w:r>
    </w:p>
    <w:p w14:paraId="78C35781" w14:textId="5E75F1C3" w:rsidR="00E15625" w:rsidRPr="00E15625" w:rsidRDefault="00E15625" w:rsidP="00845583">
      <w:pPr>
        <w:spacing w:line="480" w:lineRule="auto"/>
        <w:ind w:left="720" w:firstLine="720"/>
        <w:jc w:val="both"/>
        <w:rPr>
          <w:rFonts w:ascii="Book Antiqua" w:hAnsi="Book Antiqua"/>
          <w:i/>
          <w:iCs/>
          <w:lang w:val="es-ES"/>
        </w:rPr>
      </w:pPr>
      <w:r w:rsidRPr="00E15625">
        <w:rPr>
          <w:lang w:val="es-ES"/>
        </w:rPr>
        <w:t xml:space="preserve">Cuando los cargos incluyan tres (3) o más mensualidades vencidas por servicios que no habían sido previamente facturados, la autoridad, instrumentalidad gubernamental, corporación pública y/o alianza público-privada participativa deberá ofrecerle al abonado o usuario un plan de pago razonable, </w:t>
      </w:r>
      <w:proofErr w:type="gramStart"/>
      <w:r w:rsidRPr="00E15625">
        <w:rPr>
          <w:lang w:val="es-ES"/>
        </w:rPr>
        <w:t>de acuerdo a</w:t>
      </w:r>
      <w:proofErr w:type="gramEnd"/>
      <w:r w:rsidRPr="00E15625">
        <w:rPr>
          <w:lang w:val="es-ES"/>
        </w:rPr>
        <w:t xml:space="preserve"> sus medios económicos, cuya duración podrá extenderse hasta por veinticuatro (24) meses</w:t>
      </w:r>
      <w:r>
        <w:rPr>
          <w:lang w:val="es-ES"/>
        </w:rPr>
        <w:t>.</w:t>
      </w:r>
    </w:p>
    <w:p w14:paraId="4CB57CA9" w14:textId="05DC2D8D" w:rsidR="000E32FA" w:rsidRPr="00F95CCD" w:rsidRDefault="000E32FA" w:rsidP="00845583">
      <w:pPr>
        <w:spacing w:line="480" w:lineRule="auto"/>
        <w:ind w:left="720"/>
        <w:jc w:val="both"/>
        <w:rPr>
          <w:rFonts w:ascii="Book Antiqua" w:hAnsi="Book Antiqua"/>
          <w:i/>
          <w:iCs/>
          <w:lang w:val="es-PR"/>
        </w:rPr>
      </w:pPr>
      <w:r w:rsidRPr="002F07A5">
        <w:rPr>
          <w:rFonts w:ascii="Book Antiqua" w:hAnsi="Book Antiqua"/>
          <w:i/>
          <w:iCs/>
          <w:lang w:val="es-ES_tradnl"/>
        </w:rPr>
        <w:tab/>
      </w:r>
      <w:r w:rsidRPr="00F95CCD">
        <w:rPr>
          <w:rFonts w:ascii="Book Antiqua" w:hAnsi="Book Antiqua"/>
          <w:i/>
          <w:iCs/>
          <w:lang w:val="es-PR"/>
        </w:rPr>
        <w:t>Cuando los cargos incluyan tres (3) o más mensualidades vencidas por servicios previamente facturados</w:t>
      </w:r>
      <w:r w:rsidR="00C815F8" w:rsidRPr="00F95CCD">
        <w:rPr>
          <w:rFonts w:ascii="Book Antiqua" w:hAnsi="Book Antiqua"/>
          <w:i/>
          <w:iCs/>
          <w:lang w:val="es-PR"/>
        </w:rPr>
        <w:t xml:space="preserve">, y la autoridad, instrumentalidad gubernamental, corporación pública y/o alianza público-privada, </w:t>
      </w:r>
      <w:r w:rsidRPr="00F95CCD">
        <w:rPr>
          <w:rFonts w:ascii="Book Antiqua" w:hAnsi="Book Antiqua"/>
          <w:i/>
          <w:iCs/>
          <w:lang w:val="es-PR"/>
        </w:rPr>
        <w:t>no</w:t>
      </w:r>
      <w:r w:rsidR="00452C61" w:rsidRPr="00F95CCD">
        <w:rPr>
          <w:rFonts w:ascii="Book Antiqua" w:hAnsi="Book Antiqua"/>
          <w:i/>
          <w:iCs/>
          <w:lang w:val="es-PR"/>
        </w:rPr>
        <w:t xml:space="preserve"> haya</w:t>
      </w:r>
      <w:r w:rsidRPr="00F95CCD">
        <w:rPr>
          <w:rFonts w:ascii="Book Antiqua" w:hAnsi="Book Antiqua"/>
          <w:i/>
          <w:iCs/>
          <w:lang w:val="es-PR"/>
        </w:rPr>
        <w:t xml:space="preserve"> efectua</w:t>
      </w:r>
      <w:r w:rsidR="00452C61" w:rsidRPr="00F95CCD">
        <w:rPr>
          <w:rFonts w:ascii="Book Antiqua" w:hAnsi="Book Antiqua"/>
          <w:i/>
          <w:iCs/>
          <w:lang w:val="es-PR"/>
        </w:rPr>
        <w:t>do</w:t>
      </w:r>
      <w:r w:rsidRPr="00F95CCD">
        <w:rPr>
          <w:rFonts w:ascii="Book Antiqua" w:hAnsi="Book Antiqua"/>
          <w:i/>
          <w:iCs/>
          <w:lang w:val="es-PR"/>
        </w:rPr>
        <w:t xml:space="preserve"> el corte de servicio conforme al estatuto actual, deberá ofrecerle al abonado o usuario un plan de pago razonable, </w:t>
      </w:r>
      <w:proofErr w:type="gramStart"/>
      <w:r w:rsidR="002F07A5" w:rsidRPr="00F95CCD">
        <w:rPr>
          <w:rFonts w:ascii="Book Antiqua" w:hAnsi="Book Antiqua"/>
          <w:i/>
          <w:iCs/>
          <w:lang w:val="es-PR"/>
        </w:rPr>
        <w:t xml:space="preserve">de acuerdo </w:t>
      </w:r>
      <w:r w:rsidR="00E5768B" w:rsidRPr="00F95CCD">
        <w:rPr>
          <w:rFonts w:ascii="Book Antiqua" w:hAnsi="Book Antiqua"/>
          <w:i/>
          <w:iCs/>
          <w:lang w:val="es-PR"/>
        </w:rPr>
        <w:t>a</w:t>
      </w:r>
      <w:proofErr w:type="gramEnd"/>
      <w:r w:rsidRPr="00F95CCD">
        <w:rPr>
          <w:rFonts w:ascii="Book Antiqua" w:hAnsi="Book Antiqua"/>
          <w:i/>
          <w:iCs/>
          <w:lang w:val="es-PR"/>
        </w:rPr>
        <w:t xml:space="preserve"> sus medios económicos.</w:t>
      </w:r>
    </w:p>
    <w:p w14:paraId="019B98B0" w14:textId="64D0CC4A" w:rsidR="005618E9" w:rsidRDefault="00C815F8" w:rsidP="00845583">
      <w:pPr>
        <w:pStyle w:val="Prrafodelista"/>
        <w:spacing w:line="480" w:lineRule="auto"/>
        <w:ind w:firstLine="720"/>
        <w:jc w:val="both"/>
        <w:rPr>
          <w:rFonts w:ascii="Book Antiqua" w:hAnsi="Book Antiqua"/>
          <w:i/>
          <w:iCs/>
          <w:lang w:val="es-ES"/>
        </w:rPr>
      </w:pPr>
      <w:r w:rsidRPr="00F95CCD">
        <w:rPr>
          <w:rFonts w:ascii="Book Antiqua" w:hAnsi="Book Antiqua"/>
          <w:i/>
          <w:iCs/>
          <w:lang w:val="es-PR"/>
        </w:rPr>
        <w:t>El</w:t>
      </w:r>
      <w:r w:rsidRPr="00F95CCD">
        <w:rPr>
          <w:rFonts w:ascii="Book Antiqua" w:hAnsi="Book Antiqua"/>
          <w:i/>
          <w:iCs/>
          <w:lang w:val="es-ES"/>
        </w:rPr>
        <w:t xml:space="preserve"> proveedor del servicio esencial, entiéndase </w:t>
      </w:r>
      <w:r w:rsidRPr="00F95CCD">
        <w:rPr>
          <w:rFonts w:ascii="Book Antiqua" w:hAnsi="Book Antiqua"/>
          <w:i/>
          <w:iCs/>
          <w:lang w:val="es-PR"/>
        </w:rPr>
        <w:t>la autoridad, instrumentalidad gubernamental, corporación pública y/o alianza público-privada</w:t>
      </w:r>
      <w:r w:rsidRPr="002F07A5">
        <w:rPr>
          <w:rFonts w:ascii="Book Antiqua" w:hAnsi="Book Antiqua"/>
          <w:i/>
          <w:iCs/>
          <w:lang w:val="es-ES"/>
        </w:rPr>
        <w:t xml:space="preserve"> </w:t>
      </w:r>
      <w:r>
        <w:rPr>
          <w:rFonts w:ascii="Book Antiqua" w:hAnsi="Book Antiqua"/>
          <w:i/>
          <w:iCs/>
          <w:lang w:val="es-ES"/>
        </w:rPr>
        <w:t>deberá</w:t>
      </w:r>
      <w:r w:rsidR="005618E9">
        <w:rPr>
          <w:rFonts w:ascii="Book Antiqua" w:hAnsi="Book Antiqua"/>
          <w:i/>
          <w:iCs/>
          <w:lang w:val="es-ES"/>
        </w:rPr>
        <w:t xml:space="preserve"> considerar </w:t>
      </w:r>
      <w:r w:rsidR="000D28A0">
        <w:rPr>
          <w:rFonts w:ascii="Book Antiqua" w:hAnsi="Book Antiqua"/>
          <w:i/>
          <w:iCs/>
          <w:lang w:val="es-ES"/>
        </w:rPr>
        <w:t xml:space="preserve">dentro </w:t>
      </w:r>
      <w:r w:rsidR="005618E9">
        <w:rPr>
          <w:rFonts w:ascii="Book Antiqua" w:hAnsi="Book Antiqua"/>
          <w:i/>
          <w:iCs/>
          <w:lang w:val="es-ES"/>
        </w:rPr>
        <w:t>de los criterios de evaluación</w:t>
      </w:r>
      <w:r w:rsidR="000D28A0">
        <w:rPr>
          <w:rFonts w:ascii="Book Antiqua" w:hAnsi="Book Antiqua"/>
          <w:i/>
          <w:iCs/>
          <w:lang w:val="es-ES"/>
        </w:rPr>
        <w:t xml:space="preserve"> de la capacidad de pago:</w:t>
      </w:r>
      <w:r w:rsidR="005618E9">
        <w:rPr>
          <w:rFonts w:ascii="Book Antiqua" w:hAnsi="Book Antiqua"/>
          <w:i/>
          <w:iCs/>
          <w:lang w:val="es-ES"/>
        </w:rPr>
        <w:t xml:space="preserve"> </w:t>
      </w:r>
      <w:r w:rsidR="000D28A0">
        <w:rPr>
          <w:rFonts w:ascii="Book Antiqua" w:hAnsi="Book Antiqua"/>
          <w:i/>
          <w:iCs/>
          <w:lang w:val="es-ES"/>
        </w:rPr>
        <w:t>el número</w:t>
      </w:r>
      <w:r w:rsidR="005618E9">
        <w:rPr>
          <w:rFonts w:ascii="Book Antiqua" w:hAnsi="Book Antiqua"/>
          <w:i/>
          <w:iCs/>
          <w:lang w:val="es-ES"/>
        </w:rPr>
        <w:t xml:space="preserve"> de </w:t>
      </w:r>
      <w:r w:rsidR="000D28A0">
        <w:rPr>
          <w:rFonts w:ascii="Book Antiqua" w:hAnsi="Book Antiqua"/>
          <w:i/>
          <w:iCs/>
          <w:lang w:val="es-ES"/>
        </w:rPr>
        <w:t xml:space="preserve">personas que viven en la propiedad, el tipo y tamaño de la vivienda, el consumo promedio de los últimos doce (12) meses, así como cualquier otro factor que le permita garantizar un acceso equitativo al servicio y cubrir los costos operativos. </w:t>
      </w:r>
    </w:p>
    <w:p w14:paraId="782AD36C" w14:textId="48F1C159" w:rsidR="00C815F8" w:rsidRPr="002F07A5" w:rsidRDefault="000D28A0" w:rsidP="00845583">
      <w:pPr>
        <w:pStyle w:val="Prrafodelista"/>
        <w:spacing w:line="480" w:lineRule="auto"/>
        <w:ind w:firstLine="720"/>
        <w:jc w:val="both"/>
        <w:rPr>
          <w:rFonts w:ascii="Book Antiqua" w:hAnsi="Book Antiqua"/>
          <w:i/>
          <w:iCs/>
          <w:lang w:val="es-ES"/>
        </w:rPr>
      </w:pPr>
      <w:r>
        <w:rPr>
          <w:rFonts w:ascii="Book Antiqua" w:hAnsi="Book Antiqua"/>
          <w:i/>
          <w:iCs/>
          <w:lang w:val="es-ES"/>
        </w:rPr>
        <w:t>Además, deberá</w:t>
      </w:r>
      <w:r w:rsidR="00C815F8" w:rsidRPr="002F07A5">
        <w:rPr>
          <w:rFonts w:ascii="Book Antiqua" w:hAnsi="Book Antiqua"/>
          <w:i/>
          <w:iCs/>
          <w:lang w:val="es-ES"/>
        </w:rPr>
        <w:t xml:space="preserve"> requerir</w:t>
      </w:r>
      <w:r w:rsidR="00E5768B">
        <w:rPr>
          <w:rFonts w:ascii="Book Antiqua" w:hAnsi="Book Antiqua"/>
          <w:i/>
          <w:iCs/>
          <w:lang w:val="es-ES"/>
        </w:rPr>
        <w:t xml:space="preserve"> al menos uno (1) </w:t>
      </w:r>
      <w:r w:rsidR="00C815F8" w:rsidRPr="002F07A5">
        <w:rPr>
          <w:rFonts w:ascii="Book Antiqua" w:hAnsi="Book Antiqua"/>
          <w:i/>
          <w:iCs/>
          <w:lang w:val="es-ES"/>
        </w:rPr>
        <w:t>de los siguientes documentos como evidencia de ingresos de la unidad familiar del cliente</w:t>
      </w:r>
      <w:r w:rsidR="00C815F8">
        <w:rPr>
          <w:rFonts w:ascii="Book Antiqua" w:hAnsi="Book Antiqua"/>
          <w:i/>
          <w:iCs/>
          <w:lang w:val="es-ES"/>
        </w:rPr>
        <w:t xml:space="preserve"> para establecer la capacidad de pago</w:t>
      </w:r>
      <w:r w:rsidR="00C815F8" w:rsidRPr="002F07A5">
        <w:rPr>
          <w:rFonts w:ascii="Book Antiqua" w:hAnsi="Book Antiqua"/>
          <w:i/>
          <w:iCs/>
          <w:lang w:val="es-ES"/>
        </w:rPr>
        <w:t>:</w:t>
      </w:r>
    </w:p>
    <w:p w14:paraId="1DFDD83D" w14:textId="5CE8C334" w:rsidR="00C815F8" w:rsidRPr="002F07A5" w:rsidRDefault="00E5768B" w:rsidP="00845583">
      <w:pPr>
        <w:pStyle w:val="Prrafodelista"/>
        <w:numPr>
          <w:ilvl w:val="0"/>
          <w:numId w:val="1"/>
        </w:numPr>
        <w:spacing w:line="480" w:lineRule="auto"/>
        <w:ind w:left="1440"/>
        <w:jc w:val="both"/>
        <w:rPr>
          <w:rFonts w:ascii="Book Antiqua" w:hAnsi="Book Antiqua"/>
          <w:i/>
          <w:iCs/>
          <w:lang w:val="es-ES"/>
        </w:rPr>
      </w:pPr>
      <w:r>
        <w:rPr>
          <w:rFonts w:ascii="Book Antiqua" w:hAnsi="Book Antiqua"/>
          <w:i/>
          <w:iCs/>
          <w:lang w:val="es-ES"/>
        </w:rPr>
        <w:lastRenderedPageBreak/>
        <w:t>La última p</w:t>
      </w:r>
      <w:r w:rsidR="00C815F8" w:rsidRPr="002F07A5">
        <w:rPr>
          <w:rFonts w:ascii="Book Antiqua" w:hAnsi="Book Antiqua"/>
          <w:i/>
          <w:iCs/>
          <w:lang w:val="es-ES"/>
        </w:rPr>
        <w:t xml:space="preserve">lanilla de </w:t>
      </w:r>
      <w:r>
        <w:rPr>
          <w:rFonts w:ascii="Book Antiqua" w:hAnsi="Book Antiqua"/>
          <w:i/>
          <w:iCs/>
          <w:lang w:val="es-ES"/>
        </w:rPr>
        <w:t>c</w:t>
      </w:r>
      <w:r w:rsidR="00C815F8" w:rsidRPr="002F07A5">
        <w:rPr>
          <w:rFonts w:ascii="Book Antiqua" w:hAnsi="Book Antiqua"/>
          <w:i/>
          <w:iCs/>
          <w:lang w:val="es-ES"/>
        </w:rPr>
        <w:t xml:space="preserve">ontribución </w:t>
      </w:r>
      <w:r>
        <w:rPr>
          <w:rFonts w:ascii="Book Antiqua" w:hAnsi="Book Antiqua"/>
          <w:i/>
          <w:iCs/>
          <w:lang w:val="es-ES"/>
        </w:rPr>
        <w:t>s</w:t>
      </w:r>
      <w:r w:rsidR="00C815F8" w:rsidRPr="002F07A5">
        <w:rPr>
          <w:rFonts w:ascii="Book Antiqua" w:hAnsi="Book Antiqua"/>
          <w:i/>
          <w:iCs/>
          <w:lang w:val="es-ES"/>
        </w:rPr>
        <w:t xml:space="preserve">obre </w:t>
      </w:r>
      <w:r>
        <w:rPr>
          <w:rFonts w:ascii="Book Antiqua" w:hAnsi="Book Antiqua"/>
          <w:i/>
          <w:iCs/>
          <w:lang w:val="es-ES"/>
        </w:rPr>
        <w:t>i</w:t>
      </w:r>
      <w:r w:rsidR="00C815F8" w:rsidRPr="002F07A5">
        <w:rPr>
          <w:rFonts w:ascii="Book Antiqua" w:hAnsi="Book Antiqua"/>
          <w:i/>
          <w:iCs/>
          <w:lang w:val="es-ES"/>
        </w:rPr>
        <w:t>ngresos</w:t>
      </w:r>
    </w:p>
    <w:p w14:paraId="2E5D5555" w14:textId="7CACC326" w:rsidR="00C815F8" w:rsidRPr="002F07A5" w:rsidRDefault="00E5768B" w:rsidP="00845583">
      <w:pPr>
        <w:pStyle w:val="Prrafodelista"/>
        <w:numPr>
          <w:ilvl w:val="0"/>
          <w:numId w:val="1"/>
        </w:numPr>
        <w:spacing w:line="480" w:lineRule="auto"/>
        <w:ind w:left="1440"/>
        <w:jc w:val="both"/>
        <w:rPr>
          <w:rFonts w:ascii="Book Antiqua" w:hAnsi="Book Antiqua"/>
          <w:i/>
          <w:iCs/>
          <w:lang w:val="es-ES"/>
        </w:rPr>
      </w:pPr>
      <w:r>
        <w:rPr>
          <w:rFonts w:ascii="Book Antiqua" w:hAnsi="Book Antiqua"/>
          <w:i/>
          <w:iCs/>
          <w:lang w:val="es-ES"/>
        </w:rPr>
        <w:t xml:space="preserve">Los últimos </w:t>
      </w:r>
      <w:r w:rsidR="00F34D88">
        <w:rPr>
          <w:rFonts w:ascii="Book Antiqua" w:hAnsi="Book Antiqua"/>
          <w:i/>
          <w:iCs/>
          <w:lang w:val="es-ES"/>
        </w:rPr>
        <w:t>dos (2) meses de t</w:t>
      </w:r>
      <w:r>
        <w:rPr>
          <w:rFonts w:ascii="Book Antiqua" w:hAnsi="Book Antiqua"/>
          <w:i/>
          <w:iCs/>
          <w:lang w:val="es-ES"/>
        </w:rPr>
        <w:t xml:space="preserve">alonarios de </w:t>
      </w:r>
      <w:r w:rsidR="00C815F8" w:rsidRPr="002F07A5">
        <w:rPr>
          <w:rFonts w:ascii="Book Antiqua" w:hAnsi="Book Antiqua"/>
          <w:i/>
          <w:iCs/>
          <w:lang w:val="es-ES"/>
        </w:rPr>
        <w:t>pago</w:t>
      </w:r>
      <w:r>
        <w:rPr>
          <w:rFonts w:ascii="Book Antiqua" w:hAnsi="Book Antiqua"/>
          <w:i/>
          <w:iCs/>
          <w:lang w:val="es-ES"/>
        </w:rPr>
        <w:t xml:space="preserve"> </w:t>
      </w:r>
    </w:p>
    <w:p w14:paraId="4D9F680F" w14:textId="68301D04" w:rsidR="00C815F8" w:rsidRPr="002F07A5" w:rsidRDefault="00C815F8" w:rsidP="00845583">
      <w:pPr>
        <w:pStyle w:val="Prrafodelista"/>
        <w:numPr>
          <w:ilvl w:val="0"/>
          <w:numId w:val="1"/>
        </w:numPr>
        <w:spacing w:line="480" w:lineRule="auto"/>
        <w:ind w:left="1440"/>
        <w:jc w:val="both"/>
        <w:rPr>
          <w:rFonts w:ascii="Book Antiqua" w:hAnsi="Book Antiqua"/>
          <w:i/>
          <w:iCs/>
          <w:lang w:val="es-ES"/>
        </w:rPr>
      </w:pPr>
      <w:r w:rsidRPr="002F07A5">
        <w:rPr>
          <w:rFonts w:ascii="Book Antiqua" w:hAnsi="Book Antiqua"/>
          <w:i/>
          <w:iCs/>
          <w:lang w:val="es-ES"/>
        </w:rPr>
        <w:t xml:space="preserve">Carta de </w:t>
      </w:r>
      <w:r w:rsidR="00F34D88">
        <w:rPr>
          <w:rFonts w:ascii="Book Antiqua" w:hAnsi="Book Antiqua"/>
          <w:i/>
          <w:iCs/>
          <w:lang w:val="es-ES"/>
        </w:rPr>
        <w:t>e</w:t>
      </w:r>
      <w:r w:rsidRPr="002F07A5">
        <w:rPr>
          <w:rFonts w:ascii="Book Antiqua" w:hAnsi="Book Antiqua"/>
          <w:i/>
          <w:iCs/>
          <w:lang w:val="es-ES"/>
        </w:rPr>
        <w:t xml:space="preserve">mpleo y </w:t>
      </w:r>
      <w:r w:rsidR="00F34D88">
        <w:rPr>
          <w:rFonts w:ascii="Book Antiqua" w:hAnsi="Book Antiqua"/>
          <w:i/>
          <w:iCs/>
          <w:lang w:val="es-ES"/>
        </w:rPr>
        <w:t>s</w:t>
      </w:r>
      <w:r w:rsidRPr="002F07A5">
        <w:rPr>
          <w:rFonts w:ascii="Book Antiqua" w:hAnsi="Book Antiqua"/>
          <w:i/>
          <w:iCs/>
          <w:lang w:val="es-ES"/>
        </w:rPr>
        <w:t>ueldo del patrono para la cual labora ponchada con el sello oficial y firma del técnico de recursos humanos.</w:t>
      </w:r>
    </w:p>
    <w:p w14:paraId="0AE34C73" w14:textId="7DC3E263" w:rsidR="00C815F8" w:rsidRPr="007A16D3" w:rsidRDefault="00C815F8" w:rsidP="00845583">
      <w:pPr>
        <w:pStyle w:val="Prrafodelista"/>
        <w:numPr>
          <w:ilvl w:val="0"/>
          <w:numId w:val="1"/>
        </w:numPr>
        <w:spacing w:line="480" w:lineRule="auto"/>
        <w:ind w:left="1440"/>
        <w:jc w:val="both"/>
        <w:rPr>
          <w:rFonts w:ascii="Book Antiqua" w:hAnsi="Book Antiqua"/>
          <w:i/>
          <w:iCs/>
          <w:lang w:val="es-ES"/>
        </w:rPr>
      </w:pPr>
      <w:r w:rsidRPr="002F07A5">
        <w:rPr>
          <w:rFonts w:ascii="Book Antiqua" w:hAnsi="Book Antiqua"/>
          <w:i/>
          <w:iCs/>
          <w:lang w:val="es-ES"/>
        </w:rPr>
        <w:t xml:space="preserve">Certificación de </w:t>
      </w:r>
      <w:r w:rsidR="007A16D3">
        <w:rPr>
          <w:rFonts w:ascii="Book Antiqua" w:hAnsi="Book Antiqua"/>
          <w:i/>
          <w:iCs/>
          <w:lang w:val="es-ES"/>
        </w:rPr>
        <w:t>i</w:t>
      </w:r>
      <w:r w:rsidRPr="002F07A5">
        <w:rPr>
          <w:rFonts w:ascii="Book Antiqua" w:hAnsi="Book Antiqua"/>
          <w:i/>
          <w:iCs/>
          <w:lang w:val="es-ES"/>
        </w:rPr>
        <w:t xml:space="preserve">ngresos por concepto </w:t>
      </w:r>
      <w:r w:rsidR="007A16D3">
        <w:rPr>
          <w:rFonts w:ascii="Book Antiqua" w:hAnsi="Book Antiqua"/>
          <w:i/>
          <w:iCs/>
          <w:lang w:val="es-ES"/>
        </w:rPr>
        <w:t xml:space="preserve">del beneficio </w:t>
      </w:r>
      <w:r w:rsidRPr="002F07A5">
        <w:rPr>
          <w:rFonts w:ascii="Book Antiqua" w:hAnsi="Book Antiqua"/>
          <w:i/>
          <w:iCs/>
          <w:lang w:val="es-ES"/>
        </w:rPr>
        <w:t xml:space="preserve">del </w:t>
      </w:r>
      <w:r w:rsidR="007A16D3">
        <w:rPr>
          <w:rFonts w:ascii="Book Antiqua" w:hAnsi="Book Antiqua"/>
          <w:i/>
          <w:iCs/>
          <w:lang w:val="es-ES"/>
        </w:rPr>
        <w:t>s</w:t>
      </w:r>
      <w:r w:rsidRPr="002F07A5">
        <w:rPr>
          <w:rFonts w:ascii="Book Antiqua" w:hAnsi="Book Antiqua"/>
          <w:i/>
          <w:iCs/>
          <w:lang w:val="es-ES"/>
        </w:rPr>
        <w:t xml:space="preserve">eguro </w:t>
      </w:r>
      <w:r w:rsidR="007A16D3">
        <w:rPr>
          <w:rFonts w:ascii="Book Antiqua" w:hAnsi="Book Antiqua"/>
          <w:i/>
          <w:iCs/>
          <w:lang w:val="es-ES"/>
        </w:rPr>
        <w:t>s</w:t>
      </w:r>
      <w:r w:rsidRPr="002F07A5">
        <w:rPr>
          <w:rFonts w:ascii="Book Antiqua" w:hAnsi="Book Antiqua"/>
          <w:i/>
          <w:iCs/>
          <w:lang w:val="es-ES"/>
        </w:rPr>
        <w:t>ocial</w:t>
      </w:r>
      <w:r w:rsidR="00401FF6">
        <w:rPr>
          <w:rFonts w:ascii="Book Antiqua" w:hAnsi="Book Antiqua"/>
          <w:i/>
          <w:iCs/>
          <w:lang w:val="es-ES"/>
        </w:rPr>
        <w:t xml:space="preserve"> (</w:t>
      </w:r>
      <w:proofErr w:type="spellStart"/>
      <w:r w:rsidR="00401FF6">
        <w:rPr>
          <w:rFonts w:ascii="Book Antiqua" w:hAnsi="Book Antiqua"/>
          <w:i/>
          <w:iCs/>
          <w:lang w:val="es-ES"/>
        </w:rPr>
        <w:t>Form</w:t>
      </w:r>
      <w:proofErr w:type="spellEnd"/>
      <w:r w:rsidR="00C4507E">
        <w:rPr>
          <w:rFonts w:ascii="Book Antiqua" w:hAnsi="Book Antiqua"/>
          <w:i/>
          <w:iCs/>
          <w:lang w:val="es-ES"/>
        </w:rPr>
        <w:t xml:space="preserve"> SSA-1099)</w:t>
      </w:r>
    </w:p>
    <w:p w14:paraId="7EE3DA60" w14:textId="542AA765" w:rsidR="00182FFD" w:rsidRDefault="00182FFD" w:rsidP="00845583">
      <w:pPr>
        <w:spacing w:line="480" w:lineRule="auto"/>
        <w:ind w:left="720" w:firstLine="720"/>
        <w:jc w:val="both"/>
        <w:rPr>
          <w:rFonts w:ascii="Book Antiqua" w:hAnsi="Book Antiqua"/>
          <w:i/>
          <w:iCs/>
          <w:lang w:val="es-PR"/>
        </w:rPr>
      </w:pPr>
      <w:r>
        <w:rPr>
          <w:rFonts w:ascii="Book Antiqua" w:hAnsi="Book Antiqua"/>
          <w:i/>
          <w:iCs/>
          <w:lang w:val="es-ES"/>
        </w:rPr>
        <w:t>A modo de excepción</w:t>
      </w:r>
      <w:r w:rsidR="007A16D3">
        <w:rPr>
          <w:rFonts w:ascii="Book Antiqua" w:hAnsi="Book Antiqua"/>
          <w:i/>
          <w:iCs/>
          <w:lang w:val="es-ES"/>
        </w:rPr>
        <w:t>, c</w:t>
      </w:r>
      <w:r w:rsidR="007A16D3" w:rsidRPr="002F07A5">
        <w:rPr>
          <w:rFonts w:ascii="Book Antiqua" w:hAnsi="Book Antiqua"/>
          <w:i/>
          <w:iCs/>
          <w:lang w:val="es-ES"/>
        </w:rPr>
        <w:t xml:space="preserve">uando </w:t>
      </w:r>
      <w:r w:rsidR="007A16D3">
        <w:rPr>
          <w:rFonts w:ascii="Book Antiqua" w:hAnsi="Book Antiqua"/>
          <w:i/>
          <w:iCs/>
          <w:lang w:val="es-ES"/>
        </w:rPr>
        <w:t xml:space="preserve">el abonado o usuario no pueda sufragar el plan de pago en su totalidad dentro de los veinticuatro (24) meses dispuesto en este </w:t>
      </w:r>
      <w:r>
        <w:rPr>
          <w:rFonts w:ascii="Book Antiqua" w:hAnsi="Book Antiqua"/>
          <w:i/>
          <w:iCs/>
          <w:lang w:val="es-ES"/>
        </w:rPr>
        <w:t>A</w:t>
      </w:r>
      <w:r w:rsidR="007A16D3">
        <w:rPr>
          <w:rFonts w:ascii="Book Antiqua" w:hAnsi="Book Antiqua"/>
          <w:i/>
          <w:iCs/>
          <w:lang w:val="es-ES"/>
        </w:rPr>
        <w:t xml:space="preserve">rtículo, </w:t>
      </w:r>
      <w:r w:rsidR="007A16D3" w:rsidRPr="002F07A5">
        <w:rPr>
          <w:rFonts w:ascii="Book Antiqua" w:hAnsi="Book Antiqua"/>
          <w:i/>
          <w:iCs/>
          <w:lang w:val="es-ES"/>
        </w:rPr>
        <w:t>l</w:t>
      </w:r>
      <w:r w:rsidR="007A16D3">
        <w:rPr>
          <w:rFonts w:ascii="Book Antiqua" w:hAnsi="Book Antiqua"/>
          <w:i/>
          <w:iCs/>
          <w:lang w:val="es-ES"/>
        </w:rPr>
        <w:t>as tarifas y</w:t>
      </w:r>
      <w:r w:rsidR="007A16D3" w:rsidRPr="002F07A5">
        <w:rPr>
          <w:rFonts w:ascii="Book Antiqua" w:hAnsi="Book Antiqua"/>
          <w:i/>
          <w:iCs/>
          <w:lang w:val="es-ES"/>
        </w:rPr>
        <w:t xml:space="preserve"> cargos por concepto de mensualidades vencidas</w:t>
      </w:r>
      <w:r w:rsidR="007A16D3">
        <w:rPr>
          <w:rFonts w:ascii="Book Antiqua" w:hAnsi="Book Antiqua"/>
          <w:i/>
          <w:iCs/>
          <w:lang w:val="es-ES"/>
        </w:rPr>
        <w:t xml:space="preserve"> previamente facturadas o no</w:t>
      </w:r>
      <w:r w:rsidR="007A16D3" w:rsidRPr="002F07A5">
        <w:rPr>
          <w:rFonts w:ascii="Book Antiqua" w:hAnsi="Book Antiqua"/>
          <w:i/>
          <w:iCs/>
          <w:lang w:val="es-ES_tradnl"/>
        </w:rPr>
        <w:t xml:space="preserve">, </w:t>
      </w:r>
      <w:r w:rsidR="007A16D3" w:rsidRPr="002F07A5">
        <w:rPr>
          <w:rFonts w:ascii="Book Antiqua" w:hAnsi="Book Antiqua"/>
          <w:i/>
          <w:iCs/>
          <w:lang w:val="es-PR"/>
        </w:rPr>
        <w:t xml:space="preserve">la autoridad, instrumentalidad gubernamental, corporación pública y/o alianzas público-privadas </w:t>
      </w:r>
      <w:r w:rsidR="007A16D3">
        <w:rPr>
          <w:rFonts w:ascii="Book Antiqua" w:hAnsi="Book Antiqua"/>
          <w:i/>
          <w:iCs/>
          <w:lang w:val="es-PR"/>
        </w:rPr>
        <w:t>deberá conceder</w:t>
      </w:r>
      <w:r w:rsidR="007A16D3" w:rsidRPr="002F07A5">
        <w:rPr>
          <w:rFonts w:ascii="Book Antiqua" w:hAnsi="Book Antiqua"/>
          <w:i/>
          <w:iCs/>
          <w:lang w:val="es-PR"/>
        </w:rPr>
        <w:t xml:space="preserve"> el tiempo adicional necesario para sufragar el total de la deuda</w:t>
      </w:r>
      <w:r>
        <w:rPr>
          <w:rFonts w:ascii="Book Antiqua" w:hAnsi="Book Antiqua"/>
          <w:i/>
          <w:iCs/>
          <w:lang w:val="es-PR"/>
        </w:rPr>
        <w:t>, siempre y cuando demuestre al proveedor de servicio</w:t>
      </w:r>
      <w:r w:rsidR="007A16D3" w:rsidRPr="002F07A5">
        <w:rPr>
          <w:rFonts w:ascii="Book Antiqua" w:hAnsi="Book Antiqua"/>
          <w:i/>
          <w:iCs/>
          <w:lang w:val="es-PR"/>
        </w:rPr>
        <w:t xml:space="preserve"> </w:t>
      </w:r>
      <w:r>
        <w:rPr>
          <w:rFonts w:ascii="Book Antiqua" w:hAnsi="Book Antiqua"/>
          <w:i/>
          <w:iCs/>
          <w:lang w:val="es-PR"/>
        </w:rPr>
        <w:t xml:space="preserve">que no tiene la capacidad  económica para cumplir dentro de este término por que ha mediado o acontecido un evento que ha tenido el efecto de mermar sus ingresos o capacidad de pago. </w:t>
      </w:r>
    </w:p>
    <w:p w14:paraId="24027362" w14:textId="0C8DC557" w:rsidR="00182FFD" w:rsidRPr="00ED0E3B" w:rsidRDefault="001C2339" w:rsidP="00845583">
      <w:pPr>
        <w:spacing w:line="480" w:lineRule="auto"/>
        <w:ind w:left="720" w:firstLine="720"/>
        <w:jc w:val="both"/>
        <w:rPr>
          <w:rFonts w:ascii="Book Antiqua" w:hAnsi="Book Antiqua"/>
          <w:lang w:val="es-ES"/>
        </w:rPr>
      </w:pPr>
      <w:r w:rsidRPr="00ED0E3B">
        <w:rPr>
          <w:rFonts w:ascii="Book Antiqua" w:hAnsi="Book Antiqua"/>
          <w:i/>
          <w:iCs/>
          <w:lang w:val="es-ES"/>
        </w:rPr>
        <w:t>Nada de lo aquí dispuesto impedirá que la autoridad, instrumentalidad gubernamental, corporación pública y/o alianzas público-privadas participativas, le conceda a sus abonados o usuarios otros derechos más amplios que los prescritos anteriormente.</w:t>
      </w:r>
      <w:r w:rsidR="00401FF6" w:rsidRPr="00ED0E3B">
        <w:rPr>
          <w:rFonts w:ascii="Book Antiqua" w:hAnsi="Book Antiqua"/>
          <w:i/>
          <w:iCs/>
          <w:lang w:val="es-PR"/>
        </w:rPr>
        <w:t>”</w:t>
      </w:r>
    </w:p>
    <w:p w14:paraId="4D16ACE4" w14:textId="6E9DD70E" w:rsidR="00F14E26" w:rsidRDefault="009A4E99" w:rsidP="00845583">
      <w:pPr>
        <w:spacing w:line="480" w:lineRule="auto"/>
        <w:jc w:val="both"/>
        <w:rPr>
          <w:rFonts w:ascii="Book Antiqua" w:hAnsi="Book Antiqua"/>
          <w:lang w:val="es-PR"/>
        </w:rPr>
      </w:pPr>
      <w:r>
        <w:rPr>
          <w:rFonts w:ascii="Book Antiqua" w:hAnsi="Book Antiqua"/>
          <w:lang w:val="es-PR"/>
        </w:rPr>
        <w:tab/>
      </w:r>
      <w:r w:rsidR="00F14E26">
        <w:rPr>
          <w:rFonts w:ascii="Book Antiqua" w:hAnsi="Book Antiqua"/>
          <w:lang w:val="es-PR"/>
        </w:rPr>
        <w:t xml:space="preserve">Sección 2.- Reglamentación </w:t>
      </w:r>
    </w:p>
    <w:p w14:paraId="4C182090" w14:textId="184AE747" w:rsidR="00F14E26" w:rsidRDefault="00F14E26" w:rsidP="00845583">
      <w:pPr>
        <w:spacing w:line="480" w:lineRule="auto"/>
        <w:jc w:val="both"/>
        <w:rPr>
          <w:rFonts w:ascii="Book Antiqua" w:hAnsi="Book Antiqua"/>
          <w:lang w:val="es-PR"/>
        </w:rPr>
      </w:pPr>
      <w:r>
        <w:rPr>
          <w:rFonts w:ascii="Book Antiqua" w:hAnsi="Book Antiqua"/>
          <w:lang w:val="es-PR"/>
        </w:rPr>
        <w:tab/>
        <w:t>Se faculta y ordena a cada proveedor de servicio, entiéndase</w:t>
      </w:r>
      <w:r w:rsidRPr="00F14E26">
        <w:rPr>
          <w:rFonts w:ascii="Book Antiqua" w:hAnsi="Book Antiqua"/>
          <w:lang w:val="es-PR"/>
        </w:rPr>
        <w:t>, la autoridad, instrumentalidad gubernamental, corporación pública y/o alianzas público-privadas</w:t>
      </w:r>
      <w:r>
        <w:rPr>
          <w:rFonts w:ascii="Book Antiqua" w:hAnsi="Book Antiqua"/>
          <w:lang w:val="es-PR"/>
        </w:rPr>
        <w:t xml:space="preserve"> a aprobar, enmendar o derogar aquellos reglamentos que sean necesarios para dar estricto cumplimiento a las disposiciones contenidas en este estatuto. </w:t>
      </w:r>
    </w:p>
    <w:p w14:paraId="4288093E" w14:textId="1DE09DE9" w:rsidR="009A4E99" w:rsidRDefault="00151285" w:rsidP="00845583">
      <w:pPr>
        <w:spacing w:line="480" w:lineRule="auto"/>
        <w:ind w:left="720"/>
        <w:jc w:val="both"/>
        <w:rPr>
          <w:rFonts w:ascii="Book Antiqua" w:hAnsi="Book Antiqua"/>
          <w:lang w:val="es-PR"/>
        </w:rPr>
      </w:pPr>
      <w:r>
        <w:rPr>
          <w:rFonts w:ascii="Book Antiqua" w:hAnsi="Book Antiqua"/>
          <w:lang w:val="es-PR"/>
        </w:rPr>
        <w:lastRenderedPageBreak/>
        <w:t xml:space="preserve">Sección </w:t>
      </w:r>
      <w:r w:rsidR="00F14E26">
        <w:rPr>
          <w:rFonts w:ascii="Book Antiqua" w:hAnsi="Book Antiqua"/>
          <w:lang w:val="es-PR"/>
        </w:rPr>
        <w:t>3</w:t>
      </w:r>
      <w:r w:rsidR="009A4E99">
        <w:rPr>
          <w:rFonts w:ascii="Book Antiqua" w:hAnsi="Book Antiqua"/>
          <w:lang w:val="es-PR"/>
        </w:rPr>
        <w:t>.</w:t>
      </w:r>
      <w:r>
        <w:rPr>
          <w:rFonts w:ascii="Book Antiqua" w:hAnsi="Book Antiqua"/>
          <w:lang w:val="es-PR"/>
        </w:rPr>
        <w:t>-</w:t>
      </w:r>
      <w:r w:rsidR="001C2339">
        <w:rPr>
          <w:rFonts w:ascii="Book Antiqua" w:hAnsi="Book Antiqua"/>
          <w:lang w:val="es-PR"/>
        </w:rPr>
        <w:t xml:space="preserve"> </w:t>
      </w:r>
      <w:r w:rsidR="009A4E99">
        <w:rPr>
          <w:rFonts w:ascii="Book Antiqua" w:hAnsi="Book Antiqua"/>
          <w:lang w:val="es-PR"/>
        </w:rPr>
        <w:t>Cláusula de Separabilidad</w:t>
      </w:r>
    </w:p>
    <w:p w14:paraId="169085A3" w14:textId="3484FA46" w:rsidR="009A4E99" w:rsidRPr="00E31F51" w:rsidRDefault="009A4E99" w:rsidP="00845583">
      <w:pPr>
        <w:spacing w:line="480" w:lineRule="auto"/>
        <w:ind w:firstLine="720"/>
        <w:jc w:val="both"/>
        <w:rPr>
          <w:rFonts w:ascii="Book Antiqua" w:hAnsi="Book Antiqua"/>
          <w:lang w:val="es-ES"/>
        </w:rPr>
      </w:pPr>
      <w:r w:rsidRPr="00E31F51">
        <w:rPr>
          <w:rFonts w:ascii="Book Antiqua" w:hAnsi="Book Antiqua"/>
          <w:lang w:val="es-ES"/>
        </w:rPr>
        <w:t xml:space="preserve">Si alguna cláusula, párrafo, </w:t>
      </w:r>
      <w:r w:rsidR="00F20851">
        <w:rPr>
          <w:rFonts w:ascii="Book Antiqua" w:hAnsi="Book Antiqua"/>
          <w:lang w:val="es-ES"/>
        </w:rPr>
        <w:t xml:space="preserve">sección, </w:t>
      </w:r>
      <w:r w:rsidRPr="00E31F51">
        <w:rPr>
          <w:rFonts w:ascii="Book Antiqua" w:hAnsi="Book Antiqua"/>
          <w:lang w:val="es-ES"/>
        </w:rPr>
        <w:t xml:space="preserve">artículo, o parte de esta Ley fuera declarada nula o inconstitucional por un tribunal con jurisdicción competente, tal sentencia o resolución dictada al efecto, no </w:t>
      </w:r>
      <w:r w:rsidR="001C2339">
        <w:rPr>
          <w:rFonts w:ascii="Book Antiqua" w:hAnsi="Book Antiqua"/>
          <w:lang w:val="es-ES"/>
        </w:rPr>
        <w:t xml:space="preserve">afectará, menoscabará o </w:t>
      </w:r>
      <w:r w:rsidRPr="00E31F51">
        <w:rPr>
          <w:rFonts w:ascii="Book Antiqua" w:hAnsi="Book Antiqua"/>
          <w:lang w:val="es-ES"/>
        </w:rPr>
        <w:t>invalidará las demás disposiciones de esta Ley.</w:t>
      </w:r>
    </w:p>
    <w:p w14:paraId="41637031" w14:textId="0DD7407C" w:rsidR="009A4E99" w:rsidRPr="00E31F51" w:rsidRDefault="009A4E99" w:rsidP="00845583">
      <w:pPr>
        <w:spacing w:line="480" w:lineRule="auto"/>
        <w:ind w:firstLine="720"/>
        <w:jc w:val="both"/>
        <w:rPr>
          <w:rFonts w:ascii="Book Antiqua" w:hAnsi="Book Antiqua"/>
          <w:lang w:val="es-ES"/>
        </w:rPr>
      </w:pPr>
      <w:r w:rsidRPr="00E31F51">
        <w:rPr>
          <w:rFonts w:ascii="Book Antiqua" w:hAnsi="Book Antiqua"/>
          <w:lang w:val="es-ES"/>
        </w:rPr>
        <w:t xml:space="preserve">Artículo </w:t>
      </w:r>
      <w:r>
        <w:rPr>
          <w:rFonts w:ascii="Book Antiqua" w:hAnsi="Book Antiqua"/>
          <w:lang w:val="es-ES"/>
        </w:rPr>
        <w:t>6</w:t>
      </w:r>
      <w:r w:rsidRPr="00E31F51">
        <w:rPr>
          <w:rFonts w:ascii="Book Antiqua" w:hAnsi="Book Antiqua"/>
          <w:lang w:val="es-ES"/>
        </w:rPr>
        <w:t>.-Vigencia</w:t>
      </w:r>
    </w:p>
    <w:p w14:paraId="76B24E09" w14:textId="4559F5EF" w:rsidR="009A4E99" w:rsidRPr="009A4E99" w:rsidRDefault="009A4E99" w:rsidP="00845583">
      <w:pPr>
        <w:spacing w:line="480" w:lineRule="auto"/>
        <w:ind w:firstLine="720"/>
        <w:jc w:val="both"/>
        <w:rPr>
          <w:rFonts w:ascii="Book Antiqua" w:hAnsi="Book Antiqua"/>
          <w:lang w:val="es-ES"/>
        </w:rPr>
      </w:pPr>
      <w:r w:rsidRPr="00E31F51">
        <w:rPr>
          <w:rFonts w:ascii="Book Antiqua" w:hAnsi="Book Antiqua"/>
          <w:lang w:val="es-ES"/>
        </w:rPr>
        <w:t xml:space="preserve">Esta ley entrará en vigor inmediatamente </w:t>
      </w:r>
      <w:r w:rsidR="00F20851">
        <w:rPr>
          <w:rFonts w:ascii="Book Antiqua" w:hAnsi="Book Antiqua"/>
          <w:lang w:val="es-ES"/>
        </w:rPr>
        <w:t>después de</w:t>
      </w:r>
      <w:r w:rsidRPr="00E31F51">
        <w:rPr>
          <w:rFonts w:ascii="Book Antiqua" w:hAnsi="Book Antiqua"/>
          <w:lang w:val="es-ES"/>
        </w:rPr>
        <w:t xml:space="preserve"> su aprobación</w:t>
      </w:r>
      <w:r>
        <w:rPr>
          <w:rFonts w:ascii="Book Antiqua" w:hAnsi="Book Antiqua"/>
          <w:lang w:val="es-ES"/>
        </w:rPr>
        <w:t>.</w:t>
      </w:r>
    </w:p>
    <w:sectPr w:rsidR="009A4E99" w:rsidRPr="009A4E99" w:rsidSect="00ED4903">
      <w:headerReference w:type="default" r:id="rId8"/>
      <w:type w:val="continuous"/>
      <w:pgSz w:w="12240" w:h="15840" w:code="1"/>
      <w:pgMar w:top="1440" w:right="1440" w:bottom="1296" w:left="1440" w:header="720" w:footer="720" w:gutter="0"/>
      <w:lnNumType w:countBy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0E9A0" w14:textId="77777777" w:rsidR="00E76FF3" w:rsidRDefault="00E76FF3">
      <w:r>
        <w:separator/>
      </w:r>
    </w:p>
  </w:endnote>
  <w:endnote w:type="continuationSeparator" w:id="0">
    <w:p w14:paraId="7D2460FC" w14:textId="77777777" w:rsidR="00E76FF3" w:rsidRDefault="00E7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3F66D" w14:textId="77777777" w:rsidR="00E76FF3" w:rsidRDefault="00E76FF3">
      <w:r>
        <w:separator/>
      </w:r>
    </w:p>
  </w:footnote>
  <w:footnote w:type="continuationSeparator" w:id="0">
    <w:p w14:paraId="280489AE" w14:textId="77777777" w:rsidR="00E76FF3" w:rsidRDefault="00E7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1E2B" w14:textId="77777777" w:rsidR="00F042CB" w:rsidRDefault="00F042CB">
    <w:pPr>
      <w:pStyle w:val="Encabezado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805F0"/>
    <w:multiLevelType w:val="hybridMultilevel"/>
    <w:tmpl w:val="F8C43BF8"/>
    <w:lvl w:ilvl="0" w:tplc="B23C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797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ambleaNum" w:val="1"/>
    <w:docVar w:name="AsambleaSup" w:val="ra"/>
    <w:docVar w:name="Direccion" w:val="addr1addr2San JuanPR00911"/>
    <w:docVar w:name="FallecimientoDe" w:val="Ramona Solís"/>
    <w:docVar w:name="Fecha" w:val="aaa"/>
    <w:docVar w:name="Mocion_A" w:val="Ricardo Ramos Solís"/>
    <w:docVar w:name="Senador_a1" w:val="El Senador"/>
    <w:docVar w:name="Senador_a2" w:val="Senador"/>
    <w:docVar w:name="Senator_a1" w:val="El Senador"/>
    <w:docVar w:name="Senator_a2" w:val="Senador"/>
    <w:docVar w:name="SesionNum" w:val="2"/>
    <w:docVar w:name="SesionSup" w:val="da"/>
    <w:docVar w:name="SesionTipo" w:val="Ordinaria"/>
  </w:docVars>
  <w:rsids>
    <w:rsidRoot w:val="008B076C"/>
    <w:rsid w:val="00000CC1"/>
    <w:rsid w:val="00020BBB"/>
    <w:rsid w:val="00043D5F"/>
    <w:rsid w:val="00056024"/>
    <w:rsid w:val="000814E5"/>
    <w:rsid w:val="00095AE1"/>
    <w:rsid w:val="000A6B6C"/>
    <w:rsid w:val="000B0DBB"/>
    <w:rsid w:val="000B3E26"/>
    <w:rsid w:val="000D28A0"/>
    <w:rsid w:val="000E32FA"/>
    <w:rsid w:val="001064A6"/>
    <w:rsid w:val="00111E71"/>
    <w:rsid w:val="00116B36"/>
    <w:rsid w:val="00127C6A"/>
    <w:rsid w:val="001363FE"/>
    <w:rsid w:val="00151285"/>
    <w:rsid w:val="00154B88"/>
    <w:rsid w:val="0017132B"/>
    <w:rsid w:val="00182FFD"/>
    <w:rsid w:val="001A4BAB"/>
    <w:rsid w:val="001B027B"/>
    <w:rsid w:val="001C2339"/>
    <w:rsid w:val="001E6BB8"/>
    <w:rsid w:val="001F612A"/>
    <w:rsid w:val="00211396"/>
    <w:rsid w:val="00226AE6"/>
    <w:rsid w:val="00243829"/>
    <w:rsid w:val="00245B34"/>
    <w:rsid w:val="00263355"/>
    <w:rsid w:val="0026402E"/>
    <w:rsid w:val="00273792"/>
    <w:rsid w:val="002D4AC8"/>
    <w:rsid w:val="002E76C4"/>
    <w:rsid w:val="002F07A5"/>
    <w:rsid w:val="00320D78"/>
    <w:rsid w:val="003267C5"/>
    <w:rsid w:val="00380FE5"/>
    <w:rsid w:val="003924DD"/>
    <w:rsid w:val="00394FCB"/>
    <w:rsid w:val="003963F4"/>
    <w:rsid w:val="003B5254"/>
    <w:rsid w:val="003B75A6"/>
    <w:rsid w:val="00401FF6"/>
    <w:rsid w:val="004061CA"/>
    <w:rsid w:val="00415689"/>
    <w:rsid w:val="004440CB"/>
    <w:rsid w:val="00452C61"/>
    <w:rsid w:val="004713D2"/>
    <w:rsid w:val="0051168F"/>
    <w:rsid w:val="00521639"/>
    <w:rsid w:val="00532BB7"/>
    <w:rsid w:val="005332E4"/>
    <w:rsid w:val="0053550C"/>
    <w:rsid w:val="00555018"/>
    <w:rsid w:val="005618E9"/>
    <w:rsid w:val="005723DC"/>
    <w:rsid w:val="00577C2C"/>
    <w:rsid w:val="005915C3"/>
    <w:rsid w:val="006065BC"/>
    <w:rsid w:val="00616703"/>
    <w:rsid w:val="006210DC"/>
    <w:rsid w:val="0062632F"/>
    <w:rsid w:val="0064221C"/>
    <w:rsid w:val="0064349D"/>
    <w:rsid w:val="006622C2"/>
    <w:rsid w:val="006827FE"/>
    <w:rsid w:val="00685549"/>
    <w:rsid w:val="00685B6C"/>
    <w:rsid w:val="00686DA2"/>
    <w:rsid w:val="006A5244"/>
    <w:rsid w:val="006B7365"/>
    <w:rsid w:val="006C2D81"/>
    <w:rsid w:val="006C7DF8"/>
    <w:rsid w:val="00721063"/>
    <w:rsid w:val="00750FC8"/>
    <w:rsid w:val="007533D0"/>
    <w:rsid w:val="00755069"/>
    <w:rsid w:val="007A16D3"/>
    <w:rsid w:val="007B0660"/>
    <w:rsid w:val="007E3868"/>
    <w:rsid w:val="00820C41"/>
    <w:rsid w:val="00845583"/>
    <w:rsid w:val="00850256"/>
    <w:rsid w:val="00872F29"/>
    <w:rsid w:val="00881DB0"/>
    <w:rsid w:val="00893BAC"/>
    <w:rsid w:val="008B076C"/>
    <w:rsid w:val="008C5464"/>
    <w:rsid w:val="008D1B06"/>
    <w:rsid w:val="00927EF6"/>
    <w:rsid w:val="00942FD4"/>
    <w:rsid w:val="00951997"/>
    <w:rsid w:val="009729B7"/>
    <w:rsid w:val="00990352"/>
    <w:rsid w:val="009A0C32"/>
    <w:rsid w:val="009A4E99"/>
    <w:rsid w:val="00A03405"/>
    <w:rsid w:val="00A1528A"/>
    <w:rsid w:val="00A33918"/>
    <w:rsid w:val="00A7629F"/>
    <w:rsid w:val="00AF0CEE"/>
    <w:rsid w:val="00B57D8F"/>
    <w:rsid w:val="00B667AD"/>
    <w:rsid w:val="00B719D0"/>
    <w:rsid w:val="00B760F4"/>
    <w:rsid w:val="00B84C38"/>
    <w:rsid w:val="00B86C00"/>
    <w:rsid w:val="00B947F6"/>
    <w:rsid w:val="00BB1498"/>
    <w:rsid w:val="00BC7D4B"/>
    <w:rsid w:val="00BE3672"/>
    <w:rsid w:val="00BF16AA"/>
    <w:rsid w:val="00C036ED"/>
    <w:rsid w:val="00C176C5"/>
    <w:rsid w:val="00C33082"/>
    <w:rsid w:val="00C354B8"/>
    <w:rsid w:val="00C35B76"/>
    <w:rsid w:val="00C4507E"/>
    <w:rsid w:val="00C52517"/>
    <w:rsid w:val="00C60921"/>
    <w:rsid w:val="00C62936"/>
    <w:rsid w:val="00C653F2"/>
    <w:rsid w:val="00C679E6"/>
    <w:rsid w:val="00C815F8"/>
    <w:rsid w:val="00C908F9"/>
    <w:rsid w:val="00CA0917"/>
    <w:rsid w:val="00CE0E9C"/>
    <w:rsid w:val="00D17A97"/>
    <w:rsid w:val="00D33958"/>
    <w:rsid w:val="00D417C2"/>
    <w:rsid w:val="00D60936"/>
    <w:rsid w:val="00D638B1"/>
    <w:rsid w:val="00D709EB"/>
    <w:rsid w:val="00D74714"/>
    <w:rsid w:val="00D82F3F"/>
    <w:rsid w:val="00D921C6"/>
    <w:rsid w:val="00D94134"/>
    <w:rsid w:val="00D958C2"/>
    <w:rsid w:val="00DB3E3D"/>
    <w:rsid w:val="00DB586B"/>
    <w:rsid w:val="00E04AB5"/>
    <w:rsid w:val="00E15625"/>
    <w:rsid w:val="00E37D98"/>
    <w:rsid w:val="00E50EEA"/>
    <w:rsid w:val="00E52F58"/>
    <w:rsid w:val="00E5768B"/>
    <w:rsid w:val="00E76FF3"/>
    <w:rsid w:val="00EC26AA"/>
    <w:rsid w:val="00EC5C66"/>
    <w:rsid w:val="00ED0E3B"/>
    <w:rsid w:val="00ED4903"/>
    <w:rsid w:val="00ED7A53"/>
    <w:rsid w:val="00ED7C6A"/>
    <w:rsid w:val="00EE4273"/>
    <w:rsid w:val="00EF473F"/>
    <w:rsid w:val="00F02004"/>
    <w:rsid w:val="00F042CB"/>
    <w:rsid w:val="00F14E26"/>
    <w:rsid w:val="00F20851"/>
    <w:rsid w:val="00F34D88"/>
    <w:rsid w:val="00F80111"/>
    <w:rsid w:val="00F94200"/>
    <w:rsid w:val="00F95CCD"/>
    <w:rsid w:val="00FC0A95"/>
    <w:rsid w:val="00FC3D9C"/>
    <w:rsid w:val="00FD595D"/>
    <w:rsid w:val="00FE12E6"/>
    <w:rsid w:val="00FF0153"/>
    <w:rsid w:val="00FF4DD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C3936"/>
  <w15:docId w15:val="{CE96FA8C-D2D1-49AF-883B-6B30FC6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</w:style>
  <w:style w:type="paragraph" w:customStyle="1" w:styleId="Title2">
    <w:name w:val="Title2"/>
    <w:basedOn w:val="Normal"/>
    <w:next w:val="Normal"/>
    <w:pPr>
      <w:tabs>
        <w:tab w:val="left" w:pos="648"/>
        <w:tab w:val="right" w:pos="7776"/>
        <w:tab w:val="left" w:pos="7848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34"/>
    <w:qFormat/>
    <w:rsid w:val="000E32FA"/>
    <w:pPr>
      <w:ind w:left="720"/>
      <w:contextualSpacing/>
    </w:pPr>
  </w:style>
  <w:style w:type="paragraph" w:customStyle="1" w:styleId="Firmas">
    <w:name w:val="Firmas"/>
    <w:basedOn w:val="Normal"/>
    <w:pPr>
      <w:tabs>
        <w:tab w:val="center" w:pos="1440"/>
        <w:tab w:val="center" w:pos="7200"/>
      </w:tabs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ecretaria\Macro%20Medida%20C&#225;mara%202017-2020_MO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B7762263-F207-4B2B-ACA7-468B5A6EE03C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Macro Medida Cámara 2017-2020_MOD2</Template>
  <TotalTime>6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asesora - IT</vt:lpstr>
    </vt:vector>
  </TitlesOfParts>
  <Company> 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asesora - IT</dc:title>
  <dc:subject/>
  <dc:creator>Melvin Rivera Ruíz</dc:creator>
  <cp:keywords/>
  <dc:description/>
  <cp:lastModifiedBy>Rocío Alayón Morell</cp:lastModifiedBy>
  <cp:revision>5</cp:revision>
  <cp:lastPrinted>2025-08-14T20:02:00Z</cp:lastPrinted>
  <dcterms:created xsi:type="dcterms:W3CDTF">2025-08-13T19:55:00Z</dcterms:created>
  <dcterms:modified xsi:type="dcterms:W3CDTF">2025-08-14T20:02:00Z</dcterms:modified>
</cp:coreProperties>
</file>